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ectPr>
          <w:pgSz w:w="11900" w:h="16838" w:orient="portrait"/>
          <w:cols w:equalWidth="0" w:num="1">
            <w:col w:w="11420"/>
          </w:cols>
          <w:pgMar w:left="240" w:top="229" w:right="239" w:bottom="1440" w:gutter="0" w:footer="0" w:header="0"/>
        </w:sect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4280" w:space="720"/>
            <w:col w:w="6420"/>
          </w:cols>
          <w:pgMar w:left="240" w:top="229"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420"/>
          </w:cols>
          <w:pgMar w:left="240" w:top="229" w:right="239" w:bottom="1440" w:gutter="0" w:footer="0" w:header="0"/>
          <w:type w:val="continuous"/>
        </w:sect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31" w:lineRule="exact"/>
        <w:rPr>
          <w:sz w:val="24"/>
          <w:szCs w:val="24"/>
          <w:color w:val="auto"/>
        </w:rPr>
      </w:pPr>
    </w:p>
    <w:p>
      <w:pPr>
        <w:sectPr>
          <w:pgSz w:w="11900" w:h="16838" w:orient="portrait"/>
          <w:cols w:equalWidth="0" w:num="2">
            <w:col w:w="280" w:space="720"/>
            <w:col w:w="10420"/>
          </w:cols>
          <w:pgMar w:left="240" w:top="229" w:right="239" w:bottom="1440" w:gutter="0" w:footer="0" w:header="0"/>
          <w:type w:val="continuous"/>
        </w:sectPr>
      </w:pPr>
    </w:p>
    <w:p>
      <w:pPr>
        <w:ind w:left="1000" w:hanging="992"/>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ectPr>
          <w:pgSz w:w="11900" w:h="16838" w:orient="portrait"/>
          <w:cols w:equalWidth="0" w:num="1">
            <w:col w:w="11420"/>
          </w:cols>
          <w:pgMar w:left="240" w:top="229"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Section 240.14a-12</w:t>
      </w:r>
    </w:p>
    <w:p>
      <w:pPr>
        <w:spacing w:after="0" w:line="222" w:lineRule="exact"/>
        <w:rPr>
          <w:sz w:val="24"/>
          <w:szCs w:val="24"/>
          <w:color w:val="auto"/>
        </w:rPr>
      </w:pPr>
    </w:p>
    <w:p>
      <w:pPr>
        <w:sectPr>
          <w:pgSz w:w="11900" w:h="16838" w:orient="portrait"/>
          <w:cols w:equalWidth="0" w:num="2">
            <w:col w:w="280" w:space="720"/>
            <w:col w:w="10420"/>
          </w:cols>
          <w:pgMar w:left="240" w:top="229" w:right="239" w:bottom="1440" w:gutter="0" w:footer="0" w:header="0"/>
          <w:type w:val="continuous"/>
        </w:sectPr>
      </w:pP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KINGSTONE COMPANIES,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of Registrant as Specified in its Charter)</w:t>
      </w:r>
    </w:p>
    <w:p>
      <w:pPr>
        <w:sectPr>
          <w:pgSz w:w="11900" w:h="16838" w:orient="portrait"/>
          <w:cols w:equalWidth="0" w:num="1">
            <w:col w:w="11420"/>
          </w:cols>
          <w:pgMar w:left="240" w:top="229" w:right="2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880" w:hanging="87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computed on table below per Exchange Act Rules 14a-6(i)(1) and 0-11.</w:t>
      </w:r>
    </w:p>
    <w:p>
      <w:pPr>
        <w:spacing w:after="0" w:line="225" w:lineRule="exact"/>
        <w:rPr>
          <w:sz w:val="24"/>
          <w:szCs w:val="24"/>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880" w:hanging="87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ind w:left="880" w:hanging="872"/>
        <w:spacing w:after="0" w:line="308" w:lineRule="auto"/>
        <w:tabs>
          <w:tab w:leader="none" w:pos="197"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7" w:lineRule="exact"/>
        <w:rPr>
          <w:sz w:val="20"/>
          <w:szCs w:val="20"/>
          <w:color w:val="auto"/>
        </w:rPr>
      </w:pPr>
    </w:p>
    <w:p>
      <w:pPr>
        <w:ind w:left="880" w:hanging="87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 Joys Lane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 New York 12401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BE HELD ON AUGUST 9,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Kingstone Companies, Inc.:</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Meeting of Stockholders of Kingstone Companies, Inc.,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held on August 9, 2017 at 15 Joys Lane, Kingston, New York 12401, at 9:00 a.m., for the following purposes:</w:t>
      </w:r>
    </w:p>
    <w:p>
      <w:pPr>
        <w:spacing w:after="0" w:line="193"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five directors for the coming year.</w:t>
      </w:r>
    </w:p>
    <w:p>
      <w:pPr>
        <w:spacing w:after="0" w:line="25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Marcum LLP as the Company's independent registered public accounting firm for the fiscal year ending December 31, 2017.</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Only stockholders of record at the close of business on June 14, 2017 are entitled to notice of and to vote at the meeting or at any adjournment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w:t>
      </w:r>
      <w:r>
        <w:rPr>
          <w:rFonts w:ascii="Arial" w:cs="Arial" w:eastAsia="Arial" w:hAnsi="Arial"/>
          <w:sz w:val="18"/>
          <w:szCs w:val="18"/>
          <w:color w:val="auto"/>
        </w:rPr>
        <w:t>The proxy statement and the Company's Annual Report on Form 10-K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year ended December 31, 2016 are available electronically to the Company's stockholders of record as of the close of business on June 14, 2017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Floyd R. Tupper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Kingston,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WHETHER OR NOT YOU PLAN TO ATTEND THE MEETING, PLEASE SUBMIT YOUR PROXY OR VOTING INSTRUCTIONS AS SOON AS POSSIBLE. FOR SPECIFIC INSTRUCTIONS ON HOW TO VOTE YOUR SHARES, PLEASE REFER TO THE INSTRUCTIONS ON THE NOTICE REGARDING THE AVAILABILITY OF PROXY MATERIALS YOU RECEIVED IN THE MAIL OR, IF YOU REQUESTED TO RECEIVE PRINTED PROXY MATERIALS, YOUR ENCLOSED PROXY CARD. ANY STOCKHOLDER MAY REVOKE A SUBMITTED PROXY AT ANY TIME BEFORE THE MEETING BY WRITTEN NOTICE TO SUCH EFFECT, BY SUBMITTING A SUBSEQUENTLY DATED PROXY OR BY ATTENDING THE MEETING AND VOTING IN PERSON. THOSE VOTING BY INTERNET OR BY TELEPHONE MAY ALSO REVOKE THEIR PROXY BY VOTING IN PERSON AT THE MEETING OR BY VOTING AND SUBMITTING THEIR PROXY AT A LATER TIME BY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 Joys Lane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 New York 12401</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SOLICITING, VOTING AND REVOCABILITY OF PROXY</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proxy statement is being made available to all stockholders of record at the close of business on June 14, 2017 in connection with the solicitation by the Board of Directors of proxies to be voted at the Annual Meeting of Stockholders to be held on August 9, 2017 at 9:00 a.m., local time, or any adjournment thereof. Proxy materials for the Annual Meeting of Stockholders were made available to stockholders on or about June 23, 2017.</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shares represented by proxies duly executed and received will be voted on the matters presented at the meeting in accordance with the instructions specified in such proxies. Proxies so received without specified instructions will be voted as follows:</w:t>
      </w:r>
    </w:p>
    <w:p>
      <w:pPr>
        <w:spacing w:after="0" w:line="166"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nominees named in the proxy to our Board of Directors.</w:t>
      </w:r>
    </w:p>
    <w:p>
      <w:pPr>
        <w:spacing w:after="0" w:line="252" w:lineRule="exact"/>
        <w:rPr>
          <w:rFonts w:ascii="Arial" w:cs="Arial" w:eastAsia="Arial" w:hAnsi="Arial"/>
          <w:sz w:val="18"/>
          <w:szCs w:val="18"/>
          <w:b w:val="1"/>
          <w:bCs w:val="1"/>
          <w:color w:val="auto"/>
        </w:rPr>
      </w:pPr>
    </w:p>
    <w:p>
      <w:pPr>
        <w:ind w:left="1300" w:hanging="320"/>
        <w:spacing w:after="0" w:line="282" w:lineRule="auto"/>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Marcum LLP as our independent registered public accounting firm for the fiscal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are a beneficial owner of shares held in street name and you do not provide specific voting instructions to the organization that holds your shares, the organization will be prohibited under the current rules of the New York Stock Exchange from voting your shares on "non-routine" matters. This is commonly referred to as a "broker non-vote." The election of directors is considered a "non-routine" matter and therefore may not be voted on by your bank or broker absent specific instructions from you. The ratification of the selection of our independent registered public accounting firm is a routine matter. Please instruct your bank or broker so your vote can be counted.</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does not know of any other matters that may be brought before the meeting nor does it foresee or have reason to believe that the proxy holder will have to vote for substitute or alternate nominees to the Board of Directors. In the event that any other matter should come before the meeting or any nominee is not available for election, the person named in the enclosed proxy will have discretionary authority to vote all proxies not marked to the contrary with respect to such matters in accordance with his best judgment.</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total number of shares of common stock outstanding and entitled to vote as of the close of business on June 14, 2017 was 10,622,146. Our common stock is the only class of securities entitled to vote on matters presented to our stockholders, each share being entitled to one vote. A majority of the shares of common stock outstanding and entitled to vote as of the close of business on June 14, 2017, or 5,311,074 shares of common stock, must be present at the meeting in person or by proxy in order to constitute a quorum for the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ind w:firstLine="648"/>
        <w:spacing w:after="0" w:line="271" w:lineRule="auto"/>
        <w:rPr>
          <w:sz w:val="20"/>
          <w:szCs w:val="20"/>
          <w:color w:val="auto"/>
        </w:rPr>
      </w:pPr>
      <w:r>
        <w:rPr>
          <w:rFonts w:ascii="Arial" w:cs="Arial" w:eastAsia="Arial" w:hAnsi="Arial"/>
          <w:sz w:val="17"/>
          <w:szCs w:val="17"/>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(five) multiplied by the number of shares he is entitled to vote. A stockholder may therefore cast his votes for one nominee or distribute them among two or more of the nominees; however, in order to cumulate votes, a stockholder must request a proxy card (as Internet and telephone voting will not be available for such purposes). Only stockholders of record as of the close of business on June 14, 2017 will be entitled to vote. With regard to the election of directors, votes may be cast in favor or withheld. The directors shall be elected by a plurality of the votes cast in favor. Accordingly, based upon there being five nominees, each person who receives one or more votes will be elected as a director. Votes withheld in connection with the election of one or more of the nominees for director will not be counted as votes cast for such individuals and may be voted for the other nominees.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Stockholders may expressly abstain from voting on Proposal 2 by so indicating on the proxy. Abstentions are counted as present in the tabulation of votes on Proposal 2. Since Proposal 2 requires the affirmative approval of a majority of the shares of common stock present in person or represented by proxy at the meeting and entitled to vote (assuming a quorum is present at the meeting), abstentions will have the effect of a negative vote while broker non-votes will have no effect.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person giving a proxy in the form accompanying this proxy statement has the power to revoke it at any time before its exercise. The proxy may be revoked by filing with us written notice of revocation or a fully executed proxy bearing a later date. The proxy may also be revoked by affirmatively electing to vote in person while in attendance at the meeting. However, a stockholder who attends the meeting need not revoke a proxy given and vote in person unless the stockholder wishes to do so. Written revocations or amended proxies should be sent to us at 15 Joys Lane, Kingston, New York 12401, Attention: Corporate Secretary. Those voting by Internet or by telephone may also revoke their proxy by voting in person at the meeting or by voting and submitting their proxy at a later time by Internet or by telephone.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proxy is being solicited by our Board of Directors. We will bear the cost of the solicitation of proxies, including the charges and expenses of brokerage firms and other custodians, nominees and fiduciaries for forwarding proxy materials to beneficial owners of our shares. Solicitations will be made primarily by Internet availability of proxy materials and by mail, but certain of our directors, officers or employees may solicit proxies in person or by telephone, telecopier or email without special compensation.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list of stockholders entitled to vote at the meeting will be available for examination by any stockholder for any purpose germane to the meeting, during ordinary business hours, for ten days prior to the meeting, at our offices located at 15 Joys Lane, Kingston, New York 12401, and also during the whole time of the meeting for inspection by any stockholder who is present. To contact us, stockholders should call (845) 802-7900.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the compensation for the fiscal years ended December 31, 2016 and 2015 for certain executive officers, including our Chief Executive Officer:</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Non-Equity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w w:val="98"/>
              </w:rPr>
              <w:t>Name and Principal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Option</w:t>
            </w:r>
          </w:p>
        </w:tc>
        <w:tc>
          <w:tcPr>
            <w:tcW w:w="6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Incentive Plan</w:t>
            </w: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Salary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Bonus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Awards(1)</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Compensation</w:t>
            </w:r>
          </w:p>
        </w:tc>
        <w:tc>
          <w:tcPr>
            <w:tcW w:w="32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653,221(4)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Chief Executive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Officer</w:t>
            </w:r>
          </w:p>
        </w:tc>
        <w:tc>
          <w:tcPr>
            <w:tcW w:w="1520" w:type="dxa"/>
            <w:vAlign w:val="bottom"/>
          </w:tcPr>
          <w:p>
            <w:pPr>
              <w:ind w:left="580"/>
              <w:spacing w:after="0"/>
              <w:rPr>
                <w:sz w:val="20"/>
                <w:szCs w:val="20"/>
                <w:color w:val="auto"/>
              </w:rPr>
            </w:pPr>
            <w:r>
              <w:rPr>
                <w:rFonts w:ascii="Arial" w:cs="Arial" w:eastAsia="Arial" w:hAnsi="Arial"/>
                <w:sz w:val="18"/>
                <w:szCs w:val="18"/>
                <w:color w:val="auto"/>
              </w:rPr>
              <w:t>2015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575,000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93,719(2)</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514,970(5)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36,723</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1,220,412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15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294,420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36,295(6)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20,592</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Chief Financial</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Officer</w:t>
            </w:r>
          </w:p>
        </w:tc>
        <w:tc>
          <w:tcPr>
            <w:tcW w:w="1520" w:type="dxa"/>
            <w:vAlign w:val="bottom"/>
          </w:tcPr>
          <w:p>
            <w:pPr>
              <w:ind w:left="580"/>
              <w:spacing w:after="0"/>
              <w:rPr>
                <w:sz w:val="20"/>
                <w:szCs w:val="20"/>
                <w:color w:val="auto"/>
              </w:rPr>
            </w:pPr>
            <w:r>
              <w:rPr>
                <w:rFonts w:ascii="Arial" w:cs="Arial" w:eastAsia="Arial" w:hAnsi="Arial"/>
                <w:sz w:val="18"/>
                <w:szCs w:val="18"/>
                <w:color w:val="auto"/>
              </w:rPr>
              <w:t>2015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280,400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33,521(7)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20,041</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348,339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15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28,180(3)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42,623(6)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12,391</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341,994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Senior Vice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President and</w:t>
            </w:r>
          </w:p>
        </w:tc>
        <w:tc>
          <w:tcPr>
            <w:tcW w:w="1520" w:type="dxa"/>
            <w:vAlign w:val="bottom"/>
          </w:tcPr>
          <w:p>
            <w:pPr>
              <w:ind w:left="580"/>
              <w:spacing w:after="0"/>
              <w:rPr>
                <w:sz w:val="20"/>
                <w:szCs w:val="20"/>
                <w:color w:val="auto"/>
              </w:rPr>
            </w:pPr>
            <w:r>
              <w:rPr>
                <w:rFonts w:ascii="Arial" w:cs="Arial" w:eastAsia="Arial" w:hAnsi="Arial"/>
                <w:sz w:val="18"/>
                <w:szCs w:val="18"/>
                <w:color w:val="auto"/>
              </w:rPr>
              <w:t>2015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235,000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40,044(7)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13,282</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Chief Actuary,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Kingstone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Insurance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8"/>
          <w:szCs w:val="18"/>
          <w:color w:val="auto"/>
        </w:rPr>
        <w:t>Company</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222" w:lineRule="exact"/>
        <w:rPr>
          <w:sz w:val="20"/>
          <w:szCs w:val="20"/>
          <w:color w:val="auto"/>
        </w:rPr>
      </w:pPr>
    </w:p>
    <w:p>
      <w:pPr>
        <w:jc w:val="both"/>
        <w:ind w:left="660" w:hanging="652"/>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11 to our Consolidated Financial Statements included in our Annual Report on Form 10-K for the year ended December 31, 2016, which accompanies this proxy statement.</w:t>
      </w:r>
    </w:p>
    <w:p>
      <w:pPr>
        <w:spacing w:after="0" w:line="21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2014, Mr. Goldstein was granted an option under our 2014 Equity Participation Plan (the "2014 Plan") for the purchase of 50,000 shares of common stock at an exercise price of $6.73 per share, subject to stockholder approval of the 2014 Plan. In 2015, stockholder approval of the 2014 Plan was obtained. Such option is exercisable on the third anniversary of the date of grant.</w:t>
      </w:r>
    </w:p>
    <w:p>
      <w:pPr>
        <w:spacing w:after="0" w:line="20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2016, Mr. Walden was granted an option under the 2014 Plan for the purchase of 10,000 shares of common stock at an exercise price of $7.85 per share. Such option is exercisable to the extent of 2,500 shares as of the date of grant and each of the first, second and third anniversaries of the date of grant.</w:t>
      </w:r>
    </w:p>
    <w:p>
      <w:pPr>
        <w:spacing w:after="0" w:line="208"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bonus compensation of $583,127 accrued pursuant to Mr. Goldstein's employment agreement and paid in 2017, and $70,094 accrued pursuant to the KICO employee profit sharing plan and paid in 2017.</w:t>
      </w:r>
    </w:p>
    <w:p>
      <w:pPr>
        <w:spacing w:after="0" w:line="19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bonus compensation of $445,686 accrued pursuant to Mr. Goldstein's employment agreement and paid in 2016, and $69,284 accrued pursuant to the KICO employee profit sharing plan and paid in 2016.</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accrued pursuant to the KICO employee profit sharing plan for 2016 and paid in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accrued pursuant to the KICO employee profit sharing plan for 2015 and paid in 2016.</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Employment Contract</w:t>
      </w:r>
    </w:p>
    <w:p>
      <w:pPr>
        <w:spacing w:after="0" w:line="225" w:lineRule="exact"/>
        <w:rPr>
          <w:sz w:val="20"/>
          <w:szCs w:val="20"/>
          <w:color w:val="auto"/>
        </w:rPr>
      </w:pPr>
    </w:p>
    <w:p>
      <w:pPr>
        <w:jc w:val="both"/>
        <w:ind w:firstLine="707"/>
        <w:spacing w:after="0" w:line="288" w:lineRule="auto"/>
        <w:rPr>
          <w:sz w:val="20"/>
          <w:szCs w:val="20"/>
          <w:color w:val="auto"/>
        </w:rPr>
      </w:pPr>
      <w:r>
        <w:rPr>
          <w:rFonts w:ascii="Arial" w:cs="Arial" w:eastAsia="Arial" w:hAnsi="Arial"/>
          <w:sz w:val="16"/>
          <w:szCs w:val="16"/>
          <w:color w:val="auto"/>
        </w:rPr>
        <w:t>Mr. Goldstein is employed as our President, Chairman of the Board and Chief Executive Officer pursuant to an employment agreement, dated January 20, 2017 (the "Goldstein Employment Agreement"), that expires on December 31, 2019. Pursuant to the Goldstein Employment Agreement, effective January 1, 2017, Mr. Goldstein is entitled to receive an annual base salary of $630,000 (an increase from $575,000 per annum in effect through December 31, 2016) and an annual bonus equal to 6% of the Company's consolidated income from operations before taxes, exclusive of our consolidated net investment income (loss) and net realized gains (losses) on investments (consistent with the bonus payable to Mr. Goldstein through December 31, 2016). In addition, pursuant to the Goldstein Employment Agreement, Mr. Goldstein is entitled to a long-term compensation payment ("LTC") of between $945,000 and $2,835,000 in the event our adjusted book value per share (as defined in the Goldstein Employment Agreement) has increased by at least an average of 8% per annum as of December 31, 2019 as compared to December 31, 2016 (with the maximum LTC payment being due if the average per annum increase is at least 14%). In consideration of certain accomplishments during the three year period ended December 31, 2016, we also paid Mr. Goldstein a bonus in the amount of $200,000. See "Termination of Employment and Change-in-Control Arrangements."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unexercised options held by the above named executive officers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8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8"/>
              </w:rPr>
              <w:t>Shares of Common Stock</w:t>
            </w:r>
          </w:p>
        </w:tc>
        <w:tc>
          <w:tcPr>
            <w:tcW w:w="24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Shares of Common Stock</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1"/>
              </w:rPr>
              <w:t>Underlying</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1"/>
              </w:rPr>
              <w:t>Underlying</w:t>
            </w:r>
          </w:p>
        </w:tc>
        <w:tc>
          <w:tcPr>
            <w:tcW w:w="18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0" w:type="dxa"/>
            <w:vAlign w:val="bottom"/>
            <w:gridSpan w:val="4"/>
          </w:tcPr>
          <w:p>
            <w:pPr>
              <w:jc w:val="center"/>
              <w:ind w:right="400"/>
              <w:spacing w:after="0" w:line="194" w:lineRule="exact"/>
              <w:rPr>
                <w:sz w:val="20"/>
                <w:szCs w:val="20"/>
                <w:color w:val="auto"/>
              </w:rPr>
            </w:pPr>
            <w:r>
              <w:rPr>
                <w:rFonts w:ascii="Arial" w:cs="Arial" w:eastAsia="Arial" w:hAnsi="Arial"/>
                <w:sz w:val="18"/>
                <w:szCs w:val="18"/>
                <w:b w:val="1"/>
                <w:bCs w:val="1"/>
                <w:color w:val="auto"/>
                <w:w w:val="88"/>
              </w:rPr>
              <w:t>Unexercised Options</w:t>
            </w:r>
          </w:p>
        </w:tc>
        <w:tc>
          <w:tcPr>
            <w:tcW w:w="320" w:type="dxa"/>
            <w:vAlign w:val="bottom"/>
          </w:tcPr>
          <w:p>
            <w:pPr>
              <w:spacing w:after="0"/>
              <w:rPr>
                <w:sz w:val="16"/>
                <w:szCs w:val="16"/>
                <w:color w:val="auto"/>
              </w:rPr>
            </w:pPr>
          </w:p>
        </w:tc>
        <w:tc>
          <w:tcPr>
            <w:tcW w:w="2100" w:type="dxa"/>
            <w:vAlign w:val="bottom"/>
            <w:gridSpan w:val="4"/>
          </w:tcPr>
          <w:p>
            <w:pPr>
              <w:jc w:val="center"/>
              <w:ind w:right="520"/>
              <w:spacing w:after="0" w:line="194" w:lineRule="exact"/>
              <w:rPr>
                <w:sz w:val="20"/>
                <w:szCs w:val="20"/>
                <w:color w:val="auto"/>
              </w:rPr>
            </w:pPr>
            <w:r>
              <w:rPr>
                <w:rFonts w:ascii="Arial" w:cs="Arial" w:eastAsia="Arial" w:hAnsi="Arial"/>
                <w:sz w:val="18"/>
                <w:szCs w:val="18"/>
                <w:b w:val="1"/>
                <w:bCs w:val="1"/>
                <w:color w:val="auto"/>
                <w:w w:val="87"/>
              </w:rPr>
              <w:t>Unexercised Options</w:t>
            </w:r>
          </w:p>
        </w:tc>
        <w:tc>
          <w:tcPr>
            <w:tcW w:w="180" w:type="dxa"/>
            <w:vAlign w:val="bottom"/>
          </w:tcPr>
          <w:p>
            <w:pPr>
              <w:spacing w:after="0"/>
              <w:rPr>
                <w:sz w:val="16"/>
                <w:szCs w:val="16"/>
                <w:color w:val="auto"/>
              </w:rPr>
            </w:pPr>
          </w:p>
        </w:tc>
        <w:tc>
          <w:tcPr>
            <w:tcW w:w="980" w:type="dxa"/>
            <w:vAlign w:val="bottom"/>
            <w:gridSpan w:val="3"/>
          </w:tcPr>
          <w:p>
            <w:pPr>
              <w:jc w:val="center"/>
              <w:ind w:right="220"/>
              <w:spacing w:after="0" w:line="194" w:lineRule="exact"/>
              <w:rPr>
                <w:sz w:val="20"/>
                <w:szCs w:val="20"/>
                <w:color w:val="auto"/>
              </w:rPr>
            </w:pPr>
            <w:r>
              <w:rPr>
                <w:rFonts w:ascii="Arial" w:cs="Arial" w:eastAsia="Arial" w:hAnsi="Arial"/>
                <w:sz w:val="18"/>
                <w:szCs w:val="18"/>
                <w:b w:val="1"/>
                <w:bCs w:val="1"/>
                <w:color w:val="auto"/>
                <w:w w:val="86"/>
              </w:rPr>
              <w:t>Exercise</w:t>
            </w:r>
          </w:p>
        </w:tc>
        <w:tc>
          <w:tcPr>
            <w:tcW w:w="100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196"/>
        </w:trPr>
        <w:tc>
          <w:tcPr>
            <w:tcW w:w="26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Name</w:t>
            </w:r>
          </w:p>
        </w:tc>
        <w:tc>
          <w:tcPr>
            <w:tcW w:w="10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60"/>
              <w:spacing w:after="0" w:line="196" w:lineRule="exact"/>
              <w:rPr>
                <w:sz w:val="20"/>
                <w:szCs w:val="20"/>
                <w:color w:val="auto"/>
              </w:rPr>
            </w:pPr>
            <w:r>
              <w:rPr>
                <w:rFonts w:ascii="Arial" w:cs="Arial" w:eastAsia="Arial" w:hAnsi="Arial"/>
                <w:sz w:val="18"/>
                <w:szCs w:val="18"/>
                <w:b w:val="1"/>
                <w:bCs w:val="1"/>
                <w:color w:val="auto"/>
                <w:w w:val="87"/>
              </w:rPr>
              <w:t>Exercisable</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Borders>
              <w:top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b w:val="1"/>
                <w:bCs w:val="1"/>
                <w:color w:val="auto"/>
                <w:w w:val="88"/>
              </w:rPr>
              <w:t>Unexercisable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center"/>
              <w:ind w:right="400"/>
              <w:spacing w:after="0" w:line="196" w:lineRule="exact"/>
              <w:rPr>
                <w:sz w:val="20"/>
                <w:szCs w:val="20"/>
                <w:color w:val="auto"/>
              </w:rPr>
            </w:pPr>
            <w:r>
              <w:rPr>
                <w:rFonts w:ascii="Arial" w:cs="Arial" w:eastAsia="Arial" w:hAnsi="Arial"/>
                <w:sz w:val="18"/>
                <w:szCs w:val="18"/>
                <w:b w:val="1"/>
                <w:bCs w:val="1"/>
                <w:color w:val="auto"/>
                <w:w w:val="90"/>
              </w:rPr>
              <w:t>Price</w:t>
            </w:r>
          </w:p>
        </w:tc>
        <w:tc>
          <w:tcPr>
            <w:tcW w:w="100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3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187,500</w:t>
            </w:r>
          </w:p>
        </w:tc>
        <w:tc>
          <w:tcPr>
            <w:tcW w:w="24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62,500(1)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10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8/12/19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Victor J. Brodsky</w:t>
            </w:r>
          </w:p>
        </w:tc>
        <w:tc>
          <w:tcPr>
            <w:tcW w:w="3080" w:type="dxa"/>
            <w:vAlign w:val="bottom"/>
            <w:gridSpan w:val="5"/>
          </w:tcPr>
          <w:p>
            <w:pPr>
              <w:jc w:val="right"/>
              <w:ind w:right="160"/>
              <w:spacing w:after="0"/>
              <w:rPr>
                <w:sz w:val="20"/>
                <w:szCs w:val="20"/>
                <w:color w:val="auto"/>
              </w:rPr>
            </w:pPr>
            <w:r>
              <w:rPr>
                <w:rFonts w:ascii="Arial" w:cs="Arial" w:eastAsia="Arial" w:hAnsi="Arial"/>
                <w:sz w:val="18"/>
                <w:szCs w:val="18"/>
                <w:color w:val="auto"/>
              </w:rPr>
              <w:t>20,000</w:t>
            </w:r>
          </w:p>
        </w:tc>
        <w:tc>
          <w:tcPr>
            <w:tcW w:w="24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5.09</w:t>
            </w: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w w:val="89"/>
              </w:rPr>
              <w:t>8/29/18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3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24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6.60</w:t>
            </w:r>
          </w:p>
        </w:tc>
        <w:tc>
          <w:tcPr>
            <w:tcW w:w="10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12/16/18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Benjamin Walden</w:t>
            </w:r>
          </w:p>
        </w:tc>
        <w:tc>
          <w:tcPr>
            <w:tcW w:w="3080" w:type="dxa"/>
            <w:vAlign w:val="bottom"/>
            <w:gridSpan w:val="5"/>
          </w:tcPr>
          <w:p>
            <w:pPr>
              <w:jc w:val="right"/>
              <w:ind w:right="160"/>
              <w:spacing w:after="0" w:line="201" w:lineRule="exact"/>
              <w:rPr>
                <w:sz w:val="20"/>
                <w:szCs w:val="20"/>
                <w:color w:val="auto"/>
              </w:rPr>
            </w:pPr>
            <w:r>
              <w:rPr>
                <w:rFonts w:ascii="Arial" w:cs="Arial" w:eastAsia="Arial" w:hAnsi="Arial"/>
                <w:sz w:val="18"/>
                <w:szCs w:val="18"/>
                <w:color w:val="auto"/>
              </w:rPr>
              <w:t>2,500</w:t>
            </w:r>
          </w:p>
        </w:tc>
        <w:tc>
          <w:tcPr>
            <w:tcW w:w="2420" w:type="dxa"/>
            <w:vAlign w:val="bottom"/>
            <w:gridSpan w:val="5"/>
          </w:tcPr>
          <w:p>
            <w:pPr>
              <w:jc w:val="right"/>
              <w:ind w:right="60"/>
              <w:spacing w:after="0" w:line="201" w:lineRule="exact"/>
              <w:rPr>
                <w:sz w:val="20"/>
                <w:szCs w:val="20"/>
                <w:color w:val="auto"/>
              </w:rPr>
            </w:pPr>
            <w:r>
              <w:rPr>
                <w:rFonts w:ascii="Arial" w:cs="Arial" w:eastAsia="Arial" w:hAnsi="Arial"/>
                <w:sz w:val="18"/>
                <w:szCs w:val="18"/>
                <w:color w:val="auto"/>
              </w:rPr>
              <w:t>7,500(2)</w:t>
            </w: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7.85</w:t>
            </w:r>
          </w:p>
        </w:tc>
        <w:tc>
          <w:tcPr>
            <w:tcW w:w="100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9"/>
              </w:rPr>
              <w:t>3/11/21</w:t>
            </w:r>
          </w:p>
        </w:tc>
        <w:tc>
          <w:tcPr>
            <w:tcW w:w="0" w:type="dxa"/>
            <w:vAlign w:val="bottom"/>
          </w:tcPr>
          <w:p>
            <w:pPr>
              <w:spacing w:after="0"/>
              <w:rPr>
                <w:sz w:val="1"/>
                <w:szCs w:val="1"/>
                <w:color w:val="auto"/>
              </w:rPr>
            </w:pPr>
          </w:p>
        </w:tc>
      </w:tr>
      <w:tr>
        <w:trPr>
          <w:trHeight w:val="230"/>
        </w:trPr>
        <w:tc>
          <w:tcPr>
            <w:tcW w:w="26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options are exercisable on August 12, 2017.</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options are exercisable to the extent of 2,500 shares on each of March 11, 2017, 2018 and 2019.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left="700"/>
        <w:spacing w:after="0"/>
        <w:rPr>
          <w:sz w:val="20"/>
          <w:szCs w:val="20"/>
          <w:color w:val="auto"/>
        </w:rPr>
      </w:pPr>
      <w:r>
        <w:rPr>
          <w:rFonts w:ascii="Arial" w:cs="Arial" w:eastAsia="Arial" w:hAnsi="Arial"/>
          <w:sz w:val="18"/>
          <w:szCs w:val="18"/>
          <w:b w:val="1"/>
          <w:bCs w:val="1"/>
          <w:i w:val="1"/>
          <w:iCs w:val="1"/>
          <w:color w:val="auto"/>
        </w:rPr>
        <w:t>Termination of Employment and Change-in-Control Arrangements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Goldstein Employment Agreement, in the event that Mr. Goldstein's employment is terminated by us without cause or he resigns for good reason (each as defined in the Goldstein Employment Agreement), Mr. Goldstein would be entitled to receive his base salary, the 6% bonus and the LTC payment for the remainder of the term. In addition, in such event, Mr. Goldstein's vested options would remain exercisable until the first anniversary of the termination date.</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Mr. Goldstein would be entitled, under certain circumstances, to a payment equal to one and one-half times his then annual salary and the target LTC payment of $1,890,000 in the event of the termination of his employment following a change of control of the Company. Under such circumstances, Mr. Goldstein's outstanding options would become exercisable and would remain exercisable until the first anniversary of the termination date.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the compensation of our non-employee directors for the fiscal year ended December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40" w:type="dxa"/>
            <w:vAlign w:val="bottom"/>
            <w:gridSpan w:val="5"/>
          </w:tcPr>
          <w:p>
            <w:pPr>
              <w:ind w:left="620"/>
              <w:spacing w:after="0"/>
              <w:rPr>
                <w:sz w:val="20"/>
                <w:szCs w:val="20"/>
                <w:color w:val="auto"/>
              </w:rPr>
            </w:pPr>
            <w:r>
              <w:rPr>
                <w:rFonts w:ascii="Arial" w:cs="Arial" w:eastAsia="Arial" w:hAnsi="Arial"/>
                <w:sz w:val="18"/>
                <w:szCs w:val="18"/>
                <w:b w:val="1"/>
                <w:bCs w:val="1"/>
                <w:color w:val="auto"/>
              </w:rPr>
              <w:t>DIRECTOR COMPENSATION</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Fees Earned</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or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Option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Borders>
              <w:bottom w:val="single" w:sz="8" w:color="auto"/>
            </w:tcBorders>
          </w:tcPr>
          <w:p>
            <w:pPr>
              <w:ind w:left="2740"/>
              <w:spacing w:after="0"/>
              <w:rPr>
                <w:sz w:val="20"/>
                <w:szCs w:val="20"/>
                <w:color w:val="auto"/>
              </w:rPr>
            </w:pPr>
            <w:r>
              <w:rPr>
                <w:rFonts w:ascii="Arial" w:cs="Arial" w:eastAsia="Arial" w:hAnsi="Arial"/>
                <w:sz w:val="18"/>
                <w:szCs w:val="18"/>
                <w:b w:val="1"/>
                <w:bCs w:val="1"/>
                <w:color w:val="auto"/>
              </w:rPr>
              <w:t>Name</w:t>
            </w:r>
          </w:p>
        </w:tc>
        <w:tc>
          <w:tcPr>
            <w:tcW w:w="2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Paid in Cash</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Stock Awards</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Awards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32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32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Jack D. Seibald(1)</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51,500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32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Floyd R. Tupper</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52,750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32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37,867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____________________</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Mr. Seibald resigned as a director in April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non-employee directors are currently entitled to receive annual compensation for their services as directors as follows:</w:t>
      </w:r>
    </w:p>
    <w:p>
      <w:pPr>
        <w:spacing w:after="0" w:line="225" w:lineRule="exact"/>
        <w:rPr>
          <w:sz w:val="20"/>
          <w:szCs w:val="20"/>
          <w:color w:val="auto"/>
        </w:rPr>
      </w:pPr>
    </w:p>
    <w:p>
      <w:pPr>
        <w:ind w:left="1460" w:hanging="209"/>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$44,000 (including $6,000 for services as a director of KICO)</w:t>
      </w:r>
    </w:p>
    <w:p>
      <w:pPr>
        <w:spacing w:after="0" w:line="23" w:lineRule="exact"/>
        <w:rPr>
          <w:rFonts w:ascii="Arial" w:cs="Arial" w:eastAsia="Arial" w:hAnsi="Arial"/>
          <w:sz w:val="18"/>
          <w:szCs w:val="18"/>
          <w:color w:val="auto"/>
        </w:rPr>
      </w:pPr>
    </w:p>
    <w:p>
      <w:pPr>
        <w:ind w:left="1460" w:hanging="209"/>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additional $6,000 for services as committee chair (and $1,500 for services as KICO committee chair)</w:t>
      </w:r>
    </w:p>
    <w:p>
      <w:pPr>
        <w:spacing w:after="0" w:line="9" w:lineRule="exact"/>
        <w:rPr>
          <w:rFonts w:ascii="Arial" w:cs="Arial" w:eastAsia="Arial" w:hAnsi="Arial"/>
          <w:sz w:val="18"/>
          <w:szCs w:val="18"/>
          <w:color w:val="auto"/>
        </w:rPr>
      </w:pPr>
    </w:p>
    <w:p>
      <w:pPr>
        <w:ind w:left="920" w:right="460" w:firstLine="331"/>
        <w:spacing w:after="0" w:line="261" w:lineRule="auto"/>
        <w:tabs>
          <w:tab w:leader="none" w:pos="14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2,000 shares of our common stock which vest in one-third increments over a three year period. None of the shares were vested as of December 31, 2016.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SECURITY OWNERSHIP OF CERTAIN BENEFICIAL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 AND MANAGEMENT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Security Ownership</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table sets forth certain information as of June 14, 2017 regarding the beneficial ownership of our shares of common stock by (i) each person who we believe to be the beneficial owner of more than 5% of our outstanding shares of common stock, (ii) each present director, (iii) each person listed in the Summary Compensation Table under "Executive Compensation," and (iv) all of our present executive officers and directors as a group.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5240" w:type="dxa"/>
            <w:vAlign w:val="bottom"/>
          </w:tcPr>
          <w:p>
            <w:pPr>
              <w:jc w:val="right"/>
              <w:ind w:right="1351"/>
              <w:spacing w:after="0"/>
              <w:rPr>
                <w:sz w:val="20"/>
                <w:szCs w:val="20"/>
                <w:color w:val="auto"/>
              </w:rPr>
            </w:pPr>
            <w:r>
              <w:rPr>
                <w:rFonts w:ascii="Arial" w:cs="Arial" w:eastAsia="Arial" w:hAnsi="Arial"/>
                <w:sz w:val="18"/>
                <w:szCs w:val="18"/>
                <w:b w:val="1"/>
                <w:bCs w:val="1"/>
                <w:color w:val="auto"/>
              </w:rPr>
              <w:t>Number of Shares</w:t>
            </w:r>
          </w:p>
        </w:tc>
        <w:tc>
          <w:tcPr>
            <w:tcW w:w="244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41"/>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 Beneficial Owner</w:t>
            </w:r>
          </w:p>
        </w:tc>
        <w:tc>
          <w:tcPr>
            <w:tcW w:w="5240" w:type="dxa"/>
            <w:vAlign w:val="bottom"/>
            <w:tcBorders>
              <w:bottom w:val="single" w:sz="8" w:color="auto"/>
            </w:tcBorders>
          </w:tcPr>
          <w:p>
            <w:pPr>
              <w:jc w:val="right"/>
              <w:ind w:right="1291"/>
              <w:spacing w:after="0"/>
              <w:rPr>
                <w:sz w:val="20"/>
                <w:szCs w:val="20"/>
                <w:color w:val="auto"/>
              </w:rPr>
            </w:pPr>
            <w:r>
              <w:rPr>
                <w:rFonts w:ascii="Arial" w:cs="Arial" w:eastAsia="Arial" w:hAnsi="Arial"/>
                <w:sz w:val="18"/>
                <w:szCs w:val="18"/>
                <w:b w:val="1"/>
                <w:bCs w:val="1"/>
                <w:color w:val="auto"/>
              </w:rPr>
              <w:t>Beneficially Owned</w:t>
            </w:r>
          </w:p>
        </w:tc>
        <w:tc>
          <w:tcPr>
            <w:tcW w:w="24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7"/>
              </w:rPr>
              <w:t>Percent of Class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Barry B. Goldstein</w:t>
            </w:r>
          </w:p>
        </w:tc>
        <w:tc>
          <w:tcPr>
            <w:tcW w:w="5240" w:type="dxa"/>
            <w:vAlign w:val="bottom"/>
            <w:shd w:val="clear" w:color="auto" w:fill="CCEEFF"/>
          </w:tcPr>
          <w:p>
            <w:pPr>
              <w:jc w:val="right"/>
              <w:ind w:right="311"/>
              <w:spacing w:after="0" w:line="201" w:lineRule="exact"/>
              <w:rPr>
                <w:sz w:val="20"/>
                <w:szCs w:val="20"/>
                <w:color w:val="auto"/>
              </w:rPr>
            </w:pPr>
            <w:r>
              <w:rPr>
                <w:rFonts w:ascii="Arial" w:cs="Arial" w:eastAsia="Arial" w:hAnsi="Arial"/>
                <w:sz w:val="18"/>
                <w:szCs w:val="18"/>
                <w:color w:val="auto"/>
              </w:rPr>
              <w:t>934,172</w:t>
            </w:r>
          </w:p>
        </w:tc>
        <w:tc>
          <w:tcPr>
            <w:tcW w:w="2440" w:type="dxa"/>
            <w:vAlign w:val="bottom"/>
            <w:shd w:val="clear" w:color="auto" w:fill="CCEEFF"/>
          </w:tcPr>
          <w:p>
            <w:pPr>
              <w:jc w:val="center"/>
              <w:ind w:right="310"/>
              <w:spacing w:after="0" w:line="201" w:lineRule="exact"/>
              <w:rPr>
                <w:sz w:val="20"/>
                <w:szCs w:val="20"/>
                <w:color w:val="auto"/>
              </w:rPr>
            </w:pPr>
            <w:r>
              <w:rPr>
                <w:rFonts w:ascii="Arial" w:cs="Arial" w:eastAsia="Arial" w:hAnsi="Arial"/>
                <w:sz w:val="18"/>
                <w:szCs w:val="18"/>
                <w:color w:val="auto"/>
                <w:w w:val="87"/>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52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(1)(2)</w:t>
            </w: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524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Jay M. Haft</w:t>
            </w:r>
          </w:p>
        </w:tc>
        <w:tc>
          <w:tcPr>
            <w:tcW w:w="5240" w:type="dxa"/>
            <w:vAlign w:val="bottom"/>
            <w:shd w:val="clear" w:color="auto" w:fill="CCEEFF"/>
          </w:tcPr>
          <w:p>
            <w:pPr>
              <w:jc w:val="right"/>
              <w:ind w:right="311"/>
              <w:spacing w:after="0" w:line="201" w:lineRule="exact"/>
              <w:rPr>
                <w:sz w:val="20"/>
                <w:szCs w:val="20"/>
                <w:color w:val="auto"/>
              </w:rPr>
            </w:pPr>
            <w:r>
              <w:rPr>
                <w:rFonts w:ascii="Arial" w:cs="Arial" w:eastAsia="Arial" w:hAnsi="Arial"/>
                <w:sz w:val="18"/>
                <w:szCs w:val="18"/>
                <w:color w:val="auto"/>
              </w:rPr>
              <w:t>87,090</w:t>
            </w:r>
          </w:p>
        </w:tc>
        <w:tc>
          <w:tcPr>
            <w:tcW w:w="2440" w:type="dxa"/>
            <w:vAlign w:val="bottom"/>
            <w:shd w:val="clear" w:color="auto" w:fill="CCEEFF"/>
          </w:tcPr>
          <w:p>
            <w:pPr>
              <w:jc w:val="center"/>
              <w:ind w:right="31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69 Beaver Dam Road</w:t>
            </w:r>
          </w:p>
        </w:tc>
        <w:tc>
          <w:tcPr>
            <w:tcW w:w="52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w:t>
            </w: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Salisbury, Connecticut</w:t>
            </w:r>
          </w:p>
        </w:tc>
        <w:tc>
          <w:tcPr>
            <w:tcW w:w="524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Floyd R. Tupper</w:t>
            </w:r>
          </w:p>
        </w:tc>
        <w:tc>
          <w:tcPr>
            <w:tcW w:w="5240" w:type="dxa"/>
            <w:vAlign w:val="bottom"/>
            <w:shd w:val="clear" w:color="auto" w:fill="CCEEFF"/>
          </w:tcPr>
          <w:p>
            <w:pPr>
              <w:jc w:val="right"/>
              <w:ind w:right="311"/>
              <w:spacing w:after="0" w:line="192" w:lineRule="exact"/>
              <w:rPr>
                <w:sz w:val="20"/>
                <w:szCs w:val="20"/>
                <w:color w:val="auto"/>
              </w:rPr>
            </w:pPr>
            <w:r>
              <w:rPr>
                <w:rFonts w:ascii="Arial" w:cs="Arial" w:eastAsia="Arial" w:hAnsi="Arial"/>
                <w:sz w:val="18"/>
                <w:szCs w:val="18"/>
                <w:color w:val="auto"/>
              </w:rPr>
              <w:t>50,278</w:t>
            </w:r>
          </w:p>
        </w:tc>
        <w:tc>
          <w:tcPr>
            <w:tcW w:w="2440" w:type="dxa"/>
            <w:vAlign w:val="bottom"/>
            <w:shd w:val="clear" w:color="auto" w:fill="CCEEFF"/>
          </w:tcPr>
          <w:p>
            <w:pPr>
              <w:jc w:val="center"/>
              <w:ind w:right="310"/>
              <w:spacing w:after="0" w:line="19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20" w:type="dxa"/>
            <w:vAlign w:val="bottom"/>
            <w:shd w:val="clear" w:color="auto" w:fill="CCEEFF"/>
          </w:tcPr>
          <w:p>
            <w:pPr>
              <w:spacing w:after="0" w:line="226" w:lineRule="exact"/>
              <w:rPr>
                <w:sz w:val="20"/>
                <w:szCs w:val="20"/>
                <w:color w:val="auto"/>
              </w:rPr>
            </w:pPr>
            <w:r>
              <w:rPr>
                <w:rFonts w:ascii="Arial" w:cs="Arial" w:eastAsia="Arial" w:hAnsi="Arial"/>
                <w:sz w:val="16"/>
                <w:szCs w:val="16"/>
                <w:color w:val="auto"/>
              </w:rPr>
              <w:t>220 East 57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w:t>
            </w:r>
          </w:p>
        </w:tc>
        <w:tc>
          <w:tcPr>
            <w:tcW w:w="52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(1)(3)</w:t>
            </w:r>
          </w:p>
        </w:tc>
        <w:tc>
          <w:tcPr>
            <w:tcW w:w="2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524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Victor J. Brodsky</w:t>
            </w:r>
          </w:p>
        </w:tc>
        <w:tc>
          <w:tcPr>
            <w:tcW w:w="5240" w:type="dxa"/>
            <w:vAlign w:val="bottom"/>
            <w:shd w:val="clear" w:color="auto" w:fill="CCEEFF"/>
          </w:tcPr>
          <w:p>
            <w:pPr>
              <w:jc w:val="right"/>
              <w:ind w:right="311"/>
              <w:spacing w:after="0" w:line="201" w:lineRule="exact"/>
              <w:rPr>
                <w:sz w:val="20"/>
                <w:szCs w:val="20"/>
                <w:color w:val="auto"/>
              </w:rPr>
            </w:pPr>
            <w:r>
              <w:rPr>
                <w:rFonts w:ascii="Arial" w:cs="Arial" w:eastAsia="Arial" w:hAnsi="Arial"/>
                <w:sz w:val="18"/>
                <w:szCs w:val="18"/>
                <w:color w:val="auto"/>
              </w:rPr>
              <w:t>32,498</w:t>
            </w:r>
          </w:p>
        </w:tc>
        <w:tc>
          <w:tcPr>
            <w:tcW w:w="2440" w:type="dxa"/>
            <w:vAlign w:val="bottom"/>
            <w:shd w:val="clear" w:color="auto" w:fill="CCEEFF"/>
          </w:tcPr>
          <w:p>
            <w:pPr>
              <w:jc w:val="center"/>
              <w:ind w:right="31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52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(1)(4)</w:t>
            </w: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524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Benjamin Walden</w:t>
            </w:r>
          </w:p>
        </w:tc>
        <w:tc>
          <w:tcPr>
            <w:tcW w:w="5240" w:type="dxa"/>
            <w:vAlign w:val="bottom"/>
            <w:shd w:val="clear" w:color="auto" w:fill="CCEEFF"/>
          </w:tcPr>
          <w:p>
            <w:pPr>
              <w:jc w:val="right"/>
              <w:ind w:right="311"/>
              <w:spacing w:after="0" w:line="201" w:lineRule="exact"/>
              <w:rPr>
                <w:sz w:val="20"/>
                <w:szCs w:val="20"/>
                <w:color w:val="auto"/>
              </w:rPr>
            </w:pPr>
            <w:r>
              <w:rPr>
                <w:rFonts w:ascii="Arial" w:cs="Arial" w:eastAsia="Arial" w:hAnsi="Arial"/>
                <w:sz w:val="18"/>
                <w:szCs w:val="18"/>
                <w:color w:val="auto"/>
              </w:rPr>
              <w:t>15,835</w:t>
            </w:r>
          </w:p>
        </w:tc>
        <w:tc>
          <w:tcPr>
            <w:tcW w:w="2440" w:type="dxa"/>
            <w:vAlign w:val="bottom"/>
            <w:shd w:val="clear" w:color="auto" w:fill="CCEEFF"/>
          </w:tcPr>
          <w:p>
            <w:pPr>
              <w:jc w:val="center"/>
              <w:ind w:right="31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11 Mill Pond Lane</w:t>
            </w:r>
          </w:p>
        </w:tc>
        <w:tc>
          <w:tcPr>
            <w:tcW w:w="52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(1)(5)</w:t>
            </w: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Centerport, New York</w:t>
            </w:r>
          </w:p>
        </w:tc>
        <w:tc>
          <w:tcPr>
            <w:tcW w:w="524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William L. Yankus</w:t>
            </w:r>
          </w:p>
        </w:tc>
        <w:tc>
          <w:tcPr>
            <w:tcW w:w="5240" w:type="dxa"/>
            <w:vAlign w:val="bottom"/>
            <w:shd w:val="clear" w:color="auto" w:fill="CCEEFF"/>
          </w:tcPr>
          <w:p>
            <w:pPr>
              <w:jc w:val="right"/>
              <w:ind w:right="311"/>
              <w:spacing w:after="0" w:line="201" w:lineRule="exact"/>
              <w:rPr>
                <w:sz w:val="20"/>
                <w:szCs w:val="20"/>
                <w:color w:val="auto"/>
              </w:rPr>
            </w:pPr>
            <w:r>
              <w:rPr>
                <w:rFonts w:ascii="Arial" w:cs="Arial" w:eastAsia="Arial" w:hAnsi="Arial"/>
                <w:sz w:val="18"/>
                <w:szCs w:val="18"/>
                <w:color w:val="auto"/>
              </w:rPr>
              <w:t>500</w:t>
            </w:r>
          </w:p>
        </w:tc>
        <w:tc>
          <w:tcPr>
            <w:tcW w:w="2440" w:type="dxa"/>
            <w:vAlign w:val="bottom"/>
            <w:shd w:val="clear" w:color="auto" w:fill="CCEEFF"/>
          </w:tcPr>
          <w:p>
            <w:pPr>
              <w:jc w:val="center"/>
              <w:ind w:right="31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10 Pheasant Hill Road</w:t>
            </w:r>
          </w:p>
        </w:tc>
        <w:tc>
          <w:tcPr>
            <w:tcW w:w="52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w:t>
            </w: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Farmington, Connecticut</w:t>
            </w:r>
          </w:p>
        </w:tc>
        <w:tc>
          <w:tcPr>
            <w:tcW w:w="524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Carla A. D'Andre</w:t>
            </w:r>
          </w:p>
        </w:tc>
        <w:tc>
          <w:tcPr>
            <w:tcW w:w="5240" w:type="dxa"/>
            <w:vAlign w:val="bottom"/>
            <w:shd w:val="clear" w:color="auto" w:fill="CCEEFF"/>
          </w:tcPr>
          <w:p>
            <w:pPr>
              <w:jc w:val="right"/>
              <w:ind w:right="311"/>
              <w:spacing w:after="0" w:line="201" w:lineRule="exact"/>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center"/>
              <w:ind w:right="290"/>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3561 Avocado Avenue</w:t>
            </w:r>
          </w:p>
        </w:tc>
        <w:tc>
          <w:tcPr>
            <w:tcW w:w="52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w:t>
            </w: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Miami, Florida</w:t>
            </w:r>
          </w:p>
        </w:tc>
        <w:tc>
          <w:tcPr>
            <w:tcW w:w="524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240" w:type="dxa"/>
            <w:vAlign w:val="bottom"/>
          </w:tcPr>
          <w:p>
            <w:pPr>
              <w:jc w:val="right"/>
              <w:ind w:right="3151"/>
              <w:spacing w:after="0"/>
              <w:rPr>
                <w:sz w:val="20"/>
                <w:szCs w:val="20"/>
                <w:color w:val="auto"/>
              </w:rPr>
            </w:pPr>
            <w:r>
              <w:rPr>
                <w:rFonts w:ascii="Arial" w:cs="Arial" w:eastAsia="Arial" w:hAnsi="Arial"/>
                <w:sz w:val="14"/>
                <w:szCs w:val="14"/>
                <w:color w:val="auto"/>
              </w:rPr>
              <w:t>6</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RenaissanceRe Ventures Ltd.</w:t>
            </w:r>
          </w:p>
        </w:tc>
        <w:tc>
          <w:tcPr>
            <w:tcW w:w="42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595,238</w:t>
            </w:r>
          </w:p>
        </w:tc>
        <w:tc>
          <w:tcPr>
            <w:tcW w:w="22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Renaissance Other Investments</w:t>
            </w:r>
          </w:p>
        </w:tc>
        <w:tc>
          <w:tcPr>
            <w:tcW w:w="42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w:t>
            </w: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Holding II Ltd.</w:t>
            </w:r>
          </w:p>
        </w:tc>
        <w:tc>
          <w:tcPr>
            <w:tcW w:w="4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RenaissanceRe Holdings Ltd.</w:t>
            </w:r>
          </w:p>
        </w:tc>
        <w:tc>
          <w:tcPr>
            <w:tcW w:w="4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Renaissance House</w:t>
            </w:r>
          </w:p>
        </w:tc>
        <w:tc>
          <w:tcPr>
            <w:tcW w:w="4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12 Crow Lane</w:t>
            </w:r>
          </w:p>
        </w:tc>
        <w:tc>
          <w:tcPr>
            <w:tcW w:w="4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Pembrooke HM19</w:t>
            </w:r>
          </w:p>
        </w:tc>
        <w:tc>
          <w:tcPr>
            <w:tcW w:w="4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Bermuda</w:t>
            </w:r>
          </w:p>
        </w:tc>
        <w:tc>
          <w:tcPr>
            <w:tcW w:w="4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executive officers</w:t>
            </w:r>
          </w:p>
        </w:tc>
        <w:tc>
          <w:tcPr>
            <w:tcW w:w="4280" w:type="dxa"/>
            <w:vAlign w:val="bottom"/>
            <w:shd w:val="clear" w:color="auto" w:fill="CCEEFF"/>
          </w:tcPr>
          <w:p>
            <w:pPr>
              <w:jc w:val="right"/>
              <w:ind w:right="510"/>
              <w:spacing w:after="0" w:line="201" w:lineRule="exact"/>
              <w:rPr>
                <w:sz w:val="20"/>
                <w:szCs w:val="20"/>
                <w:color w:val="auto"/>
              </w:rPr>
            </w:pPr>
            <w:r>
              <w:rPr>
                <w:rFonts w:ascii="Arial" w:cs="Arial" w:eastAsia="Arial" w:hAnsi="Arial"/>
                <w:sz w:val="18"/>
                <w:szCs w:val="18"/>
                <w:color w:val="auto"/>
              </w:rPr>
              <w:t>1,120,373</w:t>
            </w:r>
          </w:p>
        </w:tc>
        <w:tc>
          <w:tcPr>
            <w:tcW w:w="2240" w:type="dxa"/>
            <w:vAlign w:val="bottom"/>
            <w:shd w:val="clear" w:color="auto" w:fill="CCEEFF"/>
          </w:tcPr>
          <w:p>
            <w:pPr>
              <w:jc w:val="right"/>
              <w:ind w:right="1090"/>
              <w:spacing w:after="0" w:line="201"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and directors as a group</w:t>
            </w:r>
          </w:p>
        </w:tc>
        <w:tc>
          <w:tcPr>
            <w:tcW w:w="42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(1)(2)(3)(4)(5)</w:t>
            </w: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(7 persons)</w:t>
            </w:r>
          </w:p>
        </w:tc>
        <w:tc>
          <w:tcPr>
            <w:tcW w:w="42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____________________</w:t>
            </w:r>
          </w:p>
        </w:tc>
        <w:tc>
          <w:tcPr>
            <w:tcW w:w="4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color w:val="auto"/>
        </w:rPr>
        <w:t>*</w:t>
        <w:tab/>
        <w:t>Less than 1%.</w:t>
      </w:r>
    </w:p>
    <w:p>
      <w:pPr>
        <w:spacing w:after="0" w:line="252" w:lineRule="exact"/>
        <w:rPr>
          <w:sz w:val="20"/>
          <w:szCs w:val="20"/>
          <w:color w:val="auto"/>
        </w:rPr>
      </w:pPr>
    </w:p>
    <w:p>
      <w:pPr>
        <w:ind w:left="600" w:right="20" w:hanging="59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upon Schedule 13D filed under the Securities Exchange Act of 1934, as amended (the "Exchange Act"), and/or other information that is publicly available.</w:t>
      </w:r>
    </w:p>
    <w:p>
      <w:pPr>
        <w:spacing w:after="0" w:line="170"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 250,000 shares issuable upon the exercise of options that are exercisable currently or within 60 days and (ii) 73,168 shares owned by Mr. Goldstein's wife. The inclusion of the shares owned by Mr. Goldstein's wife shall not be construed as an admission that Mr. Goldstein is, for purposes of Section 13(d) or 13(g) of the Exchange Act, the beneficial owner of such shares.</w:t>
      </w:r>
    </w:p>
    <w:p>
      <w:pPr>
        <w:spacing w:after="0" w:line="181" w:lineRule="exact"/>
        <w:rPr>
          <w:rFonts w:ascii="Arial" w:cs="Arial" w:eastAsia="Arial" w:hAnsi="Arial"/>
          <w:sz w:val="18"/>
          <w:szCs w:val="18"/>
          <w:color w:val="auto"/>
        </w:rPr>
      </w:pPr>
    </w:p>
    <w:p>
      <w:pPr>
        <w:ind w:left="600" w:right="20" w:hanging="59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31,460 shares owned by Mr. Tupper's wife. The inclusion of the shares owned by Mr. Tupper's wife shall not be construed as an admission that Mr. Tupper is, for purposes of Section 13(d) or 13(g) of the Exchange Act, the beneficial owner of such shares.</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 20,000 shares issuable upon the exercise of currently exercisable options and (ii) 556 shares issuable upon the vesting of restricted stock within 60 days.</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10,000 shares issuable upon the exercise of options that are exercisable currently or within 60 days and (ii) 334 shares issuable upon the vesting of restricted stock within 60 days.</w:t>
      </w:r>
    </w:p>
    <w:p>
      <w:pPr>
        <w:spacing w:after="0" w:line="170" w:lineRule="exact"/>
        <w:rPr>
          <w:rFonts w:ascii="Arial" w:cs="Arial" w:eastAsia="Arial" w:hAnsi="Arial"/>
          <w:sz w:val="18"/>
          <w:szCs w:val="18"/>
          <w:color w:val="auto"/>
        </w:rPr>
      </w:pPr>
    </w:p>
    <w:p>
      <w:pPr>
        <w:jc w:val="both"/>
        <w:ind w:left="600" w:hanging="592"/>
        <w:spacing w:after="0" w:line="259"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upon Schedule 13G, as amended, filed under the Exchange Act, RenaissanceRe Ventures Ltd. ("RenaissanceRe Ventures"), a wholly owned subsidiary of Renaissance Other Investments Holdings II Ltd. ("ROIHL II"), a wholly owned subsidiary of RenaissanceRe Holdings Ltd. ("RenaissanceRe Holdings"), have shared voting and dispositive power over the 595,238 shares. RenaissanceRe Ventures, ROIHL II and RenaissanceRe Holdings each may be deemed to beneficially own the 595,238 shares.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Five directors are to be elected at the meeting to serve until the next annual meeting of stockholders and until their respective successors shall have been elected and have qualified.</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(five) multiplied by the number of shares he is entitled to vote. A stockholder may therefore cast his votes for one nominee or distribute them among two or more of the nominees.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Nominees for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All five of the nominees are currently members of our Board of Directors. The following table sets forth each nominee's age as of June 14, 2017, the positions and offices presently held by him or her with us, and the year in which he or she became a director. The Board of Directors recommends a vote </w:t>
      </w:r>
      <w:r>
        <w:rPr>
          <w:rFonts w:ascii="Arial" w:cs="Arial" w:eastAsia="Arial" w:hAnsi="Arial"/>
          <w:sz w:val="18"/>
          <w:szCs w:val="18"/>
          <w:b w:val="1"/>
          <w:bCs w:val="1"/>
          <w:color w:val="auto"/>
        </w:rPr>
        <w:t xml:space="preserve">FOR </w:t>
      </w:r>
      <w:r>
        <w:rPr>
          <w:rFonts w:ascii="Arial" w:cs="Arial" w:eastAsia="Arial" w:hAnsi="Arial"/>
          <w:sz w:val="18"/>
          <w:szCs w:val="18"/>
          <w:color w:val="auto"/>
        </w:rPr>
        <w:t>all nominees. The person named as proxy intends to vote cumulatively all shares represented by proxies equally among all nominees for election as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unless proxies are marked to the contrary.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80" w:type="dxa"/>
            <w:vAlign w:val="bottom"/>
          </w:tcPr>
          <w:p>
            <w:pPr>
              <w:ind w:left="1200"/>
              <w:spacing w:after="0"/>
              <w:rPr>
                <w:sz w:val="20"/>
                <w:szCs w:val="20"/>
                <w:color w:val="auto"/>
              </w:rPr>
            </w:pPr>
            <w:r>
              <w:rPr>
                <w:rFonts w:ascii="Arial" w:cs="Arial" w:eastAsia="Arial" w:hAnsi="Arial"/>
                <w:sz w:val="18"/>
                <w:szCs w:val="18"/>
                <w:b w:val="1"/>
                <w:bCs w:val="1"/>
                <w:color w:val="auto"/>
              </w:rPr>
              <w:t>Name</w:t>
            </w:r>
          </w:p>
        </w:tc>
        <w:tc>
          <w:tcPr>
            <w:tcW w:w="1340" w:type="dxa"/>
            <w:vAlign w:val="bottom"/>
          </w:tcPr>
          <w:p>
            <w:pPr>
              <w:jc w:val="center"/>
              <w:ind w:left="510"/>
              <w:spacing w:after="0"/>
              <w:rPr>
                <w:sz w:val="20"/>
                <w:szCs w:val="20"/>
                <w:color w:val="auto"/>
              </w:rPr>
            </w:pPr>
            <w:r>
              <w:rPr>
                <w:rFonts w:ascii="Arial" w:cs="Arial" w:eastAsia="Arial" w:hAnsi="Arial"/>
                <w:sz w:val="18"/>
                <w:szCs w:val="18"/>
                <w:b w:val="1"/>
                <w:bCs w:val="1"/>
                <w:color w:val="auto"/>
                <w:w w:val="88"/>
              </w:rPr>
              <w:t>Age</w:t>
            </w:r>
          </w:p>
        </w:tc>
        <w:tc>
          <w:tcPr>
            <w:tcW w:w="5720" w:type="dxa"/>
            <w:vAlign w:val="bottom"/>
          </w:tcPr>
          <w:p>
            <w:pPr>
              <w:ind w:left="1880"/>
              <w:spacing w:after="0"/>
              <w:rPr>
                <w:sz w:val="20"/>
                <w:szCs w:val="20"/>
                <w:color w:val="auto"/>
              </w:rPr>
            </w:pPr>
            <w:r>
              <w:rPr>
                <w:rFonts w:ascii="Arial" w:cs="Arial" w:eastAsia="Arial" w:hAnsi="Arial"/>
                <w:sz w:val="18"/>
                <w:szCs w:val="18"/>
                <w:b w:val="1"/>
                <w:bCs w:val="1"/>
                <w:color w:val="auto"/>
              </w:rPr>
              <w:t>Positions and Offices Held</w:t>
            </w:r>
          </w:p>
        </w:tc>
        <w:tc>
          <w:tcPr>
            <w:tcW w:w="1880" w:type="dxa"/>
            <w:vAlign w:val="bottom"/>
            <w:gridSpan w:val="2"/>
          </w:tcPr>
          <w:p>
            <w:pPr>
              <w:ind w:left="300"/>
              <w:spacing w:after="0"/>
              <w:rPr>
                <w:sz w:val="20"/>
                <w:szCs w:val="20"/>
                <w:color w:val="auto"/>
              </w:rPr>
            </w:pPr>
            <w:r>
              <w:rPr>
                <w:rFonts w:ascii="Arial" w:cs="Arial" w:eastAsia="Arial" w:hAnsi="Arial"/>
                <w:sz w:val="18"/>
                <w:szCs w:val="18"/>
                <w:b w:val="1"/>
                <w:bCs w:val="1"/>
                <w:color w:val="auto"/>
              </w:rPr>
              <w:t>Director Since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57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13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64</w:t>
            </w:r>
          </w:p>
        </w:tc>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President, Chairman of the Board, Chief Executive Officer and Director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Jay M. Haft</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89"/>
              </w:rPr>
              <w:t>81</w:t>
            </w:r>
          </w:p>
        </w:tc>
        <w:tc>
          <w:tcPr>
            <w:tcW w:w="57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tcPr>
          <w:p>
            <w:pPr>
              <w:jc w:val="right"/>
              <w:spacing w:after="0"/>
              <w:rPr>
                <w:sz w:val="20"/>
                <w:szCs w:val="20"/>
                <w:color w:val="auto"/>
              </w:rPr>
            </w:pPr>
            <w:r>
              <w:rPr>
                <w:rFonts w:ascii="Arial" w:cs="Arial" w:eastAsia="Arial" w:hAnsi="Arial"/>
                <w:sz w:val="18"/>
                <w:szCs w:val="18"/>
                <w:color w:val="auto"/>
              </w:rPr>
              <w:t>1989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Floyd R. Tupper</w:t>
            </w:r>
          </w:p>
        </w:tc>
        <w:tc>
          <w:tcPr>
            <w:tcW w:w="13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62</w:t>
            </w:r>
          </w:p>
        </w:tc>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Secretary and Director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William L. Yankus</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89"/>
              </w:rPr>
              <w:t>57</w:t>
            </w:r>
          </w:p>
        </w:tc>
        <w:tc>
          <w:tcPr>
            <w:tcW w:w="57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Carla A. D'Andre</w:t>
            </w:r>
          </w:p>
        </w:tc>
        <w:tc>
          <w:tcPr>
            <w:tcW w:w="13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61</w:t>
            </w:r>
          </w:p>
        </w:tc>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B. Goldstein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Goldstein has served as our President, Chief Executive Officer, Chairman of the Board, and a director since March 2001. He served as our Chief Financial Officer from March 2001 to November 2007 and as our Treasurer from May 2001 to August 2013. Since January 2006, Mr. Goldstein has served as Chairman of the Board of Kingstone Insurance Company ("KICO") (formerly known as Commercial Mutual Insurance Company), a New York property and casualty insurer, as well as Chairman of its Executive Committee. Mr. Goldstein has served as Chief Investment Officer of KICO since August 2008 and as its President and Chief Executive Officer since January 2012. He was Treasurer of KICO from March 2010 through September 2010. Effective July 1, 2009, we acquired a 100% equity interest in KICO. From 1997 to 2004, Mr. Goldstein served as President of AIA Acquisition Corp., which operated insurance agencies in Pennsylvania and which sold substantially all of its assets to us in 2003. Mr. Goldstein received his B.A.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Jay M. Haft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Mr. Haft served for more than 15 years as a personal advisor to Victor Vekselberg, a Russian entrepreneur with considerable interests in oil, aluminum, utilities and other industries. Mr. Haft is a partner at Columbus Nova, the U.S.-based investment and operating arm of Mr. Vekselberg's Renova Group of companies. Mr. Haft is also a strategic and financial consultant for growth stage companies. He is active in international corporate finance and mergers and acquisitions as well as in the representation of emerging growth companies. Mr. Haft has extensive experience in the Russian market, in which he has worked on growth strategies for companies looking to internationalize their business assets and enter international capital markets. He has been a founder, consultant and/or director of numerous public and private corporations, and served as Chairman of the Board of Dusa Pharmaceuticals, Inc. Mr. Haft serves on the Board of The Link of Times Foundation and The Mariinski Foundation and is an advisor to Montezemolo &amp; Partners. He has been instrumental in strategic planning and fundraising for a variety of Internet and high-tech, leading edge medical technology and marketing companies over the years. Mr. Haft served as counsel to Reed Smith, an international law firm. Mr. Haft is a past member of the Florida Commission for Government Accountability to the People, a past national trustee and Treasurer of the Miami City Ballet, and a past Board member of the Concert Association of Florida. He is also a past trustee of Florida International University Foundation and previously served on the advisory board of the Wolfsonian Museum and Florida International University Law School. Mr. Haft served as our Vice Chairman of the Board from February 1999 until March 2001. From October 1989 to February 1999, he served as our Chairman of the Board and he has served as one of our directors since 1989 (serving as Chairman of our Nominating and Corporate Governance Committee since 2010). Mr. Haft received B.A. and LL.B. degrees from Yale University. We believe that Mr. Haft's corporate finance, business consultation, legal and executive-level experience, as well as his service on the Board of KICO since 2009, give him the qualifications and skills to serve as one of our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Floyd R. Tupper</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from New York University. Mr. Tupper has served as a director of KICO, and Chairman of its Audit Committee, since 2006. He also serves as a member of its Investment Committee.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Chairman of our Audit Committee, since June 2014 and as our Secretary since June 2015. We believe that Mr. Tupper's accounting experience, as well as his service on the Board of KICO since 2006 (including his service as Chairman of its Audit Committee), give him the qualifications and skills to serve as one of our directors.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William L. Yankus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is a chartered financial analyst and a member of The CFA Institute and the American Institute of Financial Analysts. Mr. Yankus has served as one of our directors since March 2016 and Chairman of our Compensation Committee since April 2017.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Carla A. D'Andre</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including as Chair of The Institutes CPCU Society Risk Management Interest Group, Committee Director of The Institutes CPCU Reinsurance Interest Group, and a member of the Executive Advisory Council of St. John's University School of Risk Management, Insurance and Actuarial Science. She has served as one of our directors and Chair of our Insurance and Finance Committee since April 2017. Ms. D'Andre has an M.B.A. from Pace University's Lubin School of Business and a B.B.A.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and directors.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i w:val="1"/>
          <w:iCs w:val="1"/>
          <w:color w:val="auto"/>
        </w:rPr>
        <w:t>Term of Office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successor is elected and qualified or until his earlier resignation or removal.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of the Board of Directors is responsible for overseeing our accounting and financial reporting processes and the audits of our financial statements. The responsibilities and duties of the Audit Committee include the following:</w:t>
      </w:r>
    </w:p>
    <w:p>
      <w:pPr>
        <w:spacing w:after="0" w:line="170" w:lineRule="exact"/>
        <w:rPr>
          <w:sz w:val="20"/>
          <w:szCs w:val="20"/>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 the Board of Directors in fulfilling its responsibilities by reviewing the financial reports provided by us to the Securities and Exchange Commission, our stockholders or to the general public, and our internal financial and accounting controls,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 the appointment, compensation and retention of, and the work performed by, any independent public accountants engaged by us,</w:t>
      </w:r>
    </w:p>
    <w:p>
      <w:pPr>
        <w:spacing w:after="0" w:line="275"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 establish and monitor procedures designed to improve the quality and reliability of the disclosure of our financial condition and results of operations,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 establish and monitor procedures designed to facilitate:</w:t>
      </w:r>
    </w:p>
    <w:p>
      <w:pPr>
        <w:spacing w:after="0" w:line="252" w:lineRule="exact"/>
        <w:rPr>
          <w:rFonts w:ascii="Arial" w:cs="Arial" w:eastAsia="Arial" w:hAnsi="Arial"/>
          <w:sz w:val="18"/>
          <w:szCs w:val="18"/>
          <w:color w:val="auto"/>
        </w:rPr>
      </w:pPr>
    </w:p>
    <w:p>
      <w:pPr>
        <w:ind w:left="1960" w:hanging="331"/>
        <w:spacing w:after="0"/>
        <w:tabs>
          <w:tab w:leader="none" w:pos="1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receipt, retention and treatment of complaints relating to accounting, internal accounting controls or auditing matters, and</w:t>
      </w:r>
    </w:p>
    <w:p>
      <w:pPr>
        <w:spacing w:after="0" w:line="263" w:lineRule="exact"/>
        <w:rPr>
          <w:rFonts w:ascii="Arial" w:cs="Arial" w:eastAsia="Arial" w:hAnsi="Arial"/>
          <w:sz w:val="17"/>
          <w:szCs w:val="17"/>
          <w:color w:val="auto"/>
        </w:rPr>
      </w:pPr>
    </w:p>
    <w:p>
      <w:pPr>
        <w:ind w:left="1960" w:hanging="331"/>
        <w:spacing w:after="0" w:line="277"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receipt of confidential, anonymous submissions by employees of concerns regarding questionable accounting or auditing matters.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members of our Board's Audit Committee currently are Messrs. Tupper, Haft and Yankus and Ms. D'Andre. Our Board has adopted a written charter for the Audit Committee. A copy of the charter is available on our website, </w:t>
      </w:r>
      <w:r>
        <w:rPr>
          <w:rFonts w:ascii="Arial" w:cs="Arial" w:eastAsia="Arial" w:hAnsi="Arial"/>
          <w:sz w:val="18"/>
          <w:szCs w:val="18"/>
          <w:u w:val="single" w:color="auto"/>
          <w:color w:val="auto"/>
        </w:rPr>
        <w:t>www.kingstonecompanies.com</w:t>
      </w:r>
      <w:r>
        <w:rPr>
          <w:rFonts w:ascii="Arial" w:cs="Arial" w:eastAsia="Arial" w:hAnsi="Arial"/>
          <w:sz w:val="18"/>
          <w:szCs w:val="18"/>
          <w:color w:val="auto"/>
        </w:rPr>
        <w:t>.</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Nominating and Corporate Governance Committee of the Board of Directors is responsible for assisting the Board in identifying and recruiting qualified individuals to become Board members, selecting director nominees to be presented for Board and/or stockholder approval, identifying members of the Board to serve on each Board committee, identifying individuals to serve as officers and developing corporate governance guidelines.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both"/>
        <w:ind w:firstLine="648"/>
        <w:spacing w:after="0" w:line="264" w:lineRule="auto"/>
        <w:rPr>
          <w:sz w:val="20"/>
          <w:szCs w:val="20"/>
          <w:color w:val="auto"/>
        </w:rPr>
      </w:pPr>
      <w:r>
        <w:rPr>
          <w:rFonts w:ascii="Arial" w:cs="Arial" w:eastAsia="Arial" w:hAnsi="Arial"/>
          <w:sz w:val="18"/>
          <w:szCs w:val="18"/>
          <w:color w:val="auto"/>
        </w:rPr>
        <w:t xml:space="preserve">The members of the Nominating and Corporate Governance Committee currently are Messrs. Haft, Tupper and Yankus and Ms. D'Andre. Our Board has adopted a written charter for the Nominating and Corporate Governance Committee. A copy of the charter is available on our website, </w:t>
      </w:r>
      <w:r>
        <w:rPr>
          <w:rFonts w:ascii="Arial" w:cs="Arial" w:eastAsia="Arial" w:hAnsi="Arial"/>
          <w:sz w:val="18"/>
          <w:szCs w:val="18"/>
          <w:u w:val="single" w:color="auto"/>
          <w:color w:val="auto"/>
        </w:rPr>
        <w:t>www.kingstonecompanies.com</w:t>
      </w:r>
      <w:r>
        <w:rPr>
          <w:rFonts w:ascii="Arial" w:cs="Arial" w:eastAsia="Arial" w:hAnsi="Arial"/>
          <w:sz w:val="18"/>
          <w:szCs w:val="18"/>
          <w:color w:val="auto"/>
        </w:rPr>
        <w:t>.</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While the Nominating and Corporate Governance Committee does not have a formal policy on diversity for members of the Board of Directors, the Nominating and Corporate Governance Committee considers diversity of background, experience and qualifications in evaluating prospective Board members. The Nominating and Corporate Governance Committee will consider qualified director candidates recommended by stockholders if such recommendations are provided in accordance with the procedures set forth in the section entitled "Stockholder Proposals - Stockholder Nominees" below. The Nominating and Corporate Governance Committee evaluates all candidates based upon, among other factors, a candidate's financial literacy, knowledge of our industry, other relevant background experience, judgment, skill, integrity, the interplay of a candidate's experience with the experience of other Board members, 'independence' (for purposes of compliance with the rules of the SEC and the NASDAQ Marketplace Rules), and willingness, ability and availability for service. After conducting an initial evaluation of a prospective nominee, the Nominating and Corporate Governance Committee will interview that candidate if it believes the candidate might be suitable to be a director. The Nominating and Corporate Governance Committee may also ask the candidate to meet with management. If the Nominating and Corporate Governance Committee believes a candidate would be a valuable addition to our Board of Directors, it may recommend to the full Board that candidate's nomination and election. At this time, the Nominating and Corporate Governance Committee has not adopted minimum criteria for consideration of a proposed candidate for nomination.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Compensation Committee of the Board of Directors is responsible for the management of our business and affairs with respect to the compensation of our employees. The responsibilities and duties of the Compensation Committee include the following:</w:t>
      </w:r>
    </w:p>
    <w:p>
      <w:pPr>
        <w:spacing w:after="0" w:line="197"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and approve the compensation of our Chief Executive Officer,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recommendations to our Board regarding the compensation of all other executive officers,</w:t>
      </w:r>
    </w:p>
    <w:p>
      <w:pPr>
        <w:spacing w:after="0" w:line="252"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and make recommendations to our Board regarding, incentive compensation plans and equity-based plans, and where appropriate or required, recommend for approval by our stockholders, which includes the ability to adopt, amend and terminate such plans,</w:t>
      </w:r>
    </w:p>
    <w:p>
      <w:pPr>
        <w:spacing w:after="0" w:line="150"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 our incentive compensation plans and equity-based plans, including designating the employees to whom awards are to be granted, the amount of the award or equity to be granted and the terms and conditions applicable to each award or grant, subject to the provisions of each plan,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ind w:left="1300" w:right="20" w:hanging="320"/>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employment agreements and severance arrangements or plans, including any benefits to be provided in connection with a change in control, for our Chief Executive Officer and other executive officers, which includes the ability to adopt, amend and terminate such agreements, arrangements or plans,</w:t>
      </w:r>
    </w:p>
    <w:p>
      <w:pPr>
        <w:spacing w:after="0" w:line="208"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all employee benefit plans, which includes the ability to adopt, administer, amend and terminate such plans,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director compensation for service on our Board and Board committees and recommend any changes to our Board.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members of the Compensation Committee currently are Messrs. Yankus, Haft and Tupper and Ms. D'Andre. Our Board has adopted a written charter for the Compensation Committee. A copy of the charter is available on our website, </w:t>
      </w:r>
      <w:r>
        <w:rPr>
          <w:rFonts w:ascii="Arial" w:cs="Arial" w:eastAsia="Arial" w:hAnsi="Arial"/>
          <w:sz w:val="18"/>
          <w:szCs w:val="18"/>
          <w:u w:val="single" w:color="auto"/>
          <w:color w:val="auto"/>
        </w:rPr>
        <w:t>www.kingstonecompanies.com</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Compensation Committee may form and delegate authority to subcommittees and may delegate authority to one or more designated members of the Compensation Committee. Our Chief Executive Officer assists the Compensation Committee from time to time by advising on a variety of compensation matters, such as assisting the Compensation Committee in determining appropriate salaries and bonuses for our executive officers. The Compensation Committee has the authority to consult with management and to engage the services of outside advisors, experts and others to assist it in its efforts.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Board of Directors as a whole is responsible for our risk oversight. Our executive officers address and discuss with our Board of Directors our risks and the manner in which we manage or mitigate such risks. While our Board of Directors has the ultimate responsibility for our risk oversight, our Board of Directors works in conjunction with its committees on certain aspects of its risk oversight responsibilities. In particular, our Audit Committee focuses on financial reporting risks and related controls and procedures and our Compensation Committee strives to create compensation practices that do not encourage excessive levels of risk taking that would be inconsistent with our strategies and objectives.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2001, Barry B. Goldstein has served as our Chief Executive Officer and Chairman of the Board. We do not currently have a lead independent director. At this time, our Board of Directors believes that Mr. Goldstein's combined role as Chief Executive Officer and Chairman of our Board enables us to benefit from Mr. Goldstein's significant institutional and industry knowledge and experience, while at the same time promoting unified leadership and direction for our Board and executive management without duplication of effort and cost. Given our history, position, Board composition and the relatively small size of our company and management team, at this time, our Board believes that we and our stockholders are best served by our current leadership structure.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b w:val="1"/>
          <w:bCs w:val="1"/>
          <w:i w:val="1"/>
          <w:iCs w:val="1"/>
          <w:color w:val="auto"/>
        </w:rPr>
        <w:t>Report of the Audit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overseeing the preparation of the financial statements of the Company as of December 31, 2016 and for the years ended December 31, 2016 and 2015, the Audit Committee met with management to review and discuss all financial statements prior to their issuance and to discuss significant accounting issues. Management advised the Audit Committee that all financial statements were prepared in accordance with generally accepted accounting principles, and the Audit Committee discussed the statements with management. The Audit Committee also discussed with Marcum LLP, the Company's outside auditors ("Marcum"), the matters required to be discussed by Public Company Accounting Oversight Board Auditing Standard No. 16, </w:t>
      </w:r>
      <w:r>
        <w:rPr>
          <w:rFonts w:ascii="Arial" w:cs="Arial" w:eastAsia="Arial" w:hAnsi="Arial"/>
          <w:sz w:val="18"/>
          <w:szCs w:val="18"/>
          <w:i w:val="1"/>
          <w:iCs w:val="1"/>
          <w:color w:val="auto"/>
        </w:rPr>
        <w:t>Communications With</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Committees</w:t>
      </w:r>
      <w:r>
        <w:rPr>
          <w:rFonts w:ascii="Arial" w:cs="Arial" w:eastAsia="Arial" w:hAnsi="Arial"/>
          <w:sz w:val="18"/>
          <w:szCs w:val="18"/>
          <w:color w:val="auto"/>
        </w:rPr>
        <w:t>, as currently in effect.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received the written disclosures and the letter from Marcum required by applicable requirements of the Public Company Accounting Oversight Board regarding Marcum's communications with the Audit Committee concerning independence and the Audit Committee discussed Marcum's independence with Marcum.</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basis of these reviews and discussions, the Audit Committee recommended to the Board of Directors that the audited financial statements be included in the Company's Annual Report on Form 10-K for the fiscal year ended December 31, 2016, for filing with the Securities and Exchange Commission.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Members of the Audit Committee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Floyd R. Tupper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Jay M. Haft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Jack D. Seibald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William L. Yankus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Meetings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held six meetings during the fiscal year ended December 31,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of the Board of Directors held four meetings during the fiscal year ended December 31,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Nominating and Corporate Governance Committee of the Board of Directors did not meet during the fiscal year ended December 31, 2016.</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of the Board of Directors held three meetings during the fiscal year ended December 31, 2016.</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2016, all of our then directors attended all of the meetings of the Board and all of the meetings of the committees on which they served, except that Mr. Haft attended fewer than 75% of the aggregate of the total number of Board meetings and the total number of meetings of the committees on which he served during the year.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color w:val="auto"/>
        </w:rPr>
        <w:t>We do not have a formal policy regarding director attendance at our annual meeting of stockholders. However, all directors are encouraged to attend. Each of our directors was in attendance at last year's annual meeting of stockholders.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Communications with Board of Directors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security holder who wishes to communicate with our Board of Directors or a particular director should send the correspondence to the Board of Directors, Kingstone Companies, Inc., 15 Joys Lane, Kingston, New York 12401, Attention: Corporate Secretary. Any such communication so addressed will be forwarded by the Corporate Secretary to the members or a particular member of the Board.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Board of Directors has determined that Mr. Tupper is an "audit committee financial expert," as that term is defined in Item 407(d)(5) of Regulation S-K. Mr. Tupper is an "independent director" based on the definition of independence in Listing Rule 5605(a)(2) of The Nasdaq Stock Market.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16 of the Exchange Act requires that reports of beneficial ownership of common stock and changes in such ownership be filed with the Securities and Exchange Commission by Section 16 "reporting persons," including directors, certain officers, holders of more than 10% of the outstanding common stock and certain trusts of which reporting persons are trustees. We are required to disclose in this proxy statement each reporting person whom we know to have failed to file any required reports under Section 16 on a timely basis during the fiscal year ended December 31, 2016. To our knowledge, based solely on a review of copies of Forms 3, 4 and 5 filed with the Securities and Exchange Commission and written representations that no other reports were required, during the fiscal year ended December 31, 2016, our officers, directors and 10% stockholders complied with all Section 16(a) filing requirements applicable to them.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of Directors is currently comprised of Barry B. Goldstein, Jay M. Haft, Floyd R. Tupper, William L. Yankus and Carla A. D'Andre. Each of Messrs. Haft, Tupper and Yankus and Ms. D'Andre is currently an "independent director" based on the definition of independence in Listing Rule 5605(a)</w:t>
      </w:r>
    </w:p>
    <w:p>
      <w:pPr>
        <w:spacing w:after="0"/>
        <w:rPr>
          <w:sz w:val="20"/>
          <w:szCs w:val="20"/>
          <w:color w:val="auto"/>
        </w:rPr>
      </w:pPr>
      <w:r>
        <w:rPr>
          <w:rFonts w:ascii="Arial" w:cs="Arial" w:eastAsia="Arial" w:hAnsi="Arial"/>
          <w:sz w:val="18"/>
          <w:szCs w:val="18"/>
          <w:color w:val="auto"/>
        </w:rPr>
        <w:t>(2) of The Nasdaq Stock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members of our Board's Audit Committee currently are Messrs. Tupper, Haft and Yankus and Ms. D'Andre, each of whom is an "independent director" based on the definition of independence in Listing Rule 5605(a)(2) of The Nasdaq Stock Market and Rule 10A-3(b)(1) under the Exchange Act.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members of our Board's Nominating and Corporate Governance Committee currently are Messrs. Haft, Tupper and Yankus and Ms. D'Andre, each of whom is an "independent director" based on the definition of independence in Listing Rule 5605(a)(2) of The Nasdaq Stock Market.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members of our Board's Compensation Committee currently are Messrs. Yankus, Haft and Tupper and Ms. D'Andre, each of whom is an "independent director" based on the definition of independence in Listing Rule 5605(a)(2) of The Nasdaq Stock Market.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SELECTION OF INDEPENDENT REGISTERED PUBLIC ACCOUNTING FIRM</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of our Board of Directors has selected Marcum as our independent registered public accounting firm to examine our financial statements for the year ending December 31, 2017.</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Although ratification by stockholders is not required by our organizational documents or other applicable law, our Board of Directors has determined that requesting ratification by stockholders of the appointment of Marcum as our independent registered public accounting firm for the fiscal year ending December 31, 2017 is a matter of good corporate practice. If stockholders do not ratify the selection, the Audit Committee may reconsider whether or not to retain Marcum, but may still determine to retain them. Even if the selection is ratified, the Audit Committee, in its discretion, may change the appointment at any time during the year if it determines that such a change would be in the best interests of us and our stockholders.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Marcum has served as our independent registered public accountants with respect to the fiscal year ended December 31, 2013 and each subsequent fiscal year.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expected that a representative of Marcum will attend the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fees billed to us by Marcum for professional services rendered for the fiscal years ended December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Fee Category</w:t>
            </w: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2016 Fees</w:t>
            </w: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Fiscal 2015 Fees</w:t>
            </w:r>
          </w:p>
        </w:tc>
        <w:tc>
          <w:tcPr>
            <w:tcW w:w="1140" w:type="dxa"/>
            <w:vAlign w:val="bottom"/>
          </w:tcPr>
          <w:p>
            <w:pPr>
              <w:spacing w:after="0"/>
              <w:rPr>
                <w:sz w:val="20"/>
                <w:szCs w:val="20"/>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Fees(1)</w:t>
            </w:r>
          </w:p>
        </w:tc>
        <w:tc>
          <w:tcPr>
            <w:tcW w:w="3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210,451</w:t>
            </w: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203,749</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Audit-Related Fees(2)</w:t>
            </w:r>
          </w:p>
        </w:tc>
        <w:tc>
          <w:tcPr>
            <w:tcW w:w="4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2,060</w:t>
            </w:r>
          </w:p>
        </w:tc>
        <w:tc>
          <w:tcPr>
            <w:tcW w:w="200" w:type="dxa"/>
            <w:vAlign w:val="bottom"/>
          </w:tcPr>
          <w:p>
            <w:pPr>
              <w:spacing w:after="0"/>
              <w:rPr>
                <w:sz w:val="18"/>
                <w:szCs w:val="18"/>
                <w:color w:val="auto"/>
              </w:rPr>
            </w:pP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4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All Other Fees(4)</w:t>
            </w:r>
          </w:p>
        </w:tc>
        <w:tc>
          <w:tcPr>
            <w:tcW w:w="4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370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212,511</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209,128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603"/>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580" w:type="dxa"/>
            <w:vAlign w:val="bottom"/>
          </w:tcPr>
          <w:p>
            <w:pPr>
              <w:jc w:val="right"/>
              <w:ind w:right="1334"/>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171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_______________</w:t>
      </w:r>
    </w:p>
    <w:p>
      <w:pPr>
        <w:spacing w:after="0" w:line="241" w:lineRule="exact"/>
        <w:rPr>
          <w:sz w:val="20"/>
          <w:szCs w:val="20"/>
          <w:color w:val="auto"/>
        </w:rPr>
      </w:pPr>
    </w:p>
    <w:p>
      <w:pPr>
        <w:jc w:val="both"/>
        <w:ind w:left="800" w:hanging="792"/>
        <w:spacing w:after="0" w:line="264"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 Fees consist of fees billed for services rendered for the audit of our consolidated financial statements and review of our condensed consolidated financial statements included in our quarterly reports on Form 10-Q, services rendered in connection with the filing of Forms S-3 and S-8 and services provided in connection with other statutory or regulatory filings.</w:t>
      </w:r>
    </w:p>
    <w:p>
      <w:pPr>
        <w:spacing w:after="0" w:line="181" w:lineRule="exact"/>
        <w:rPr>
          <w:rFonts w:ascii="Arial" w:cs="Arial" w:eastAsia="Arial" w:hAnsi="Arial"/>
          <w:sz w:val="18"/>
          <w:szCs w:val="18"/>
          <w:color w:val="auto"/>
        </w:rPr>
      </w:pPr>
    </w:p>
    <w:p>
      <w:pPr>
        <w:ind w:left="800" w:right="20" w:hanging="792"/>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Audit-Related Fees consist of aggregate fees billed for assurance and related services that are reasonably related to the performance of the audit or review of our financial statements and are not reported under "Audit Fees."</w:t>
      </w:r>
    </w:p>
    <w:p>
      <w:pPr>
        <w:spacing w:after="0" w:line="170" w:lineRule="exact"/>
        <w:rPr>
          <w:rFonts w:ascii="Arial" w:cs="Arial" w:eastAsia="Arial" w:hAnsi="Arial"/>
          <w:sz w:val="18"/>
          <w:szCs w:val="18"/>
          <w:color w:val="auto"/>
        </w:rPr>
      </w:pPr>
    </w:p>
    <w:p>
      <w:pPr>
        <w:ind w:left="800" w:hanging="79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Fees consist of fees billed by our independent auditors for professional services related to tax advice.</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Other Fees consist of aggregate fees billed for products and services provided by our independent auditors, other than those disclosed above.</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ratification of the selection of Marcum LLP as our independent registered public accounting firm for the fiscal year ending December 31, 2017 requires the affirmative vote of stockholders who hold a majority of the common stock present in person or represented by proxy at the meeting and entitled to vote.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The Board of Directors recommends a vote FOR the ratification of the selection of Marcum LLP as our independent registered public accounting firm for the fiscal year ending December 31, 2017.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Stockholder proposals intended to be presented at our next annual meeting of stockholders pursuant to the provisions of Rule 14a-8 of the Securities and Exchange Commission, promulgated under the Exchange Act, must be received at our offices in Kingston, New York by February 23, 2018 for inclusion in our proxy statement and form of proxy relating to such meeting.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requirements with respect to stockholder proposals and stockholder nominees to our Board of Directors are included in our By-Laws.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Stockholder Proposals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order for a stockholder to make a proposal at an annual meeting of stockholders, under our By-Laws, timely notice must be received by us in advance of the meeting. To be timely, the proposal must be received by our Secretary at our principal executive offices (as provided below) on a date which is not less than 60 days nor more than 90 days prior to the date which is one year from the date of the mailing of the notice regarding the availability of proxy materials for the prior year's annual meeting of stockholders. If during the prior year we did not hold an annual meeting, or if the date of the meeting for which a stockholder intends to submit a proposal has changed by more than 30 days from the date of the meeting in the prior year, then the notice must be received a reasonable time before we mail the notice regarding the availability of proxy materials for the current year. A stockholder's notice must set forth as to each matter the stockholder proposes to bring before the annual meeting certain information regarding the proposal, including the following:</w:t>
      </w:r>
    </w:p>
    <w:p>
      <w:pPr>
        <w:spacing w:after="0" w:line="167" w:lineRule="exact"/>
        <w:rPr>
          <w:sz w:val="20"/>
          <w:szCs w:val="20"/>
          <w:color w:val="auto"/>
        </w:rPr>
      </w:pPr>
    </w:p>
    <w:p>
      <w:pPr>
        <w:ind w:left="1140" w:hanging="322"/>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such meeting;</w:t>
      </w:r>
    </w:p>
    <w:p>
      <w:pPr>
        <w:spacing w:after="0" w:line="275" w:lineRule="exact"/>
        <w:rPr>
          <w:rFonts w:ascii="Arial" w:cs="Arial" w:eastAsia="Arial" w:hAnsi="Arial"/>
          <w:sz w:val="16"/>
          <w:szCs w:val="16"/>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and address of the stockholder proposing such business;</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class and number of our shares which are beneficially owned by such stockholder; and</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material interest of such stockholder in such business.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Nominees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order for a stockholder to nominate a candidate for director, under our By-Laws, timely notice of the nomination must be received by us in advance of the meeting. To be timely, the notice must be received at our principal executive offices (as provided below) not less than 60 days nor more than 90 days prior to the meeting; however, if less than 70 days' notice of the date of the meeting is given to stockholders and public disclosure of the meeting date, pursuant to a press release, is either not made at all or is made less than 70 days prior to the meeting date, notice by a stockholder to be timely made must be so received no later than the close of business on the tenth day following the earlier of the following:</w:t>
      </w:r>
    </w:p>
    <w:p>
      <w:pPr>
        <w:spacing w:after="0" w:line="173"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day on which the notice of the date of the meeting was made available to stockholders, or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day on which such public disclosure of the meeting date was made.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stockholder sending the notice of nomination must describe various matters, including such information as:</w:t>
      </w:r>
    </w:p>
    <w:p>
      <w:pPr>
        <w:spacing w:after="0" w:line="225"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age, business and residential addresses, occupation or employment and shares held by the nominee;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information relating to such nominee required to be disclosed in a proxy statement;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address and number of shares held by the stockholder.</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requirements are separate from and in addition to the requirements a stockholder must meet to have a proposal included in our proxy statement.</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Any notice given pursuant to the foregoing requirements must be sent to our Corporate Secretary at 15 Joys Lane, Kingston, New York 12401. </w:t>
      </w:r>
      <w:r>
        <w:rPr>
          <w:rFonts w:ascii="Arial" w:cs="Arial" w:eastAsia="Arial" w:hAnsi="Arial"/>
          <w:sz w:val="17"/>
          <w:szCs w:val="17"/>
          <w:b w:val="1"/>
          <w:bCs w:val="1"/>
          <w:color w:val="auto"/>
        </w:rPr>
        <w:t>The</w:t>
      </w:r>
      <w:r>
        <w:rPr>
          <w:rFonts w:ascii="Arial" w:cs="Arial" w:eastAsia="Arial" w:hAnsi="Arial"/>
          <w:sz w:val="17"/>
          <w:szCs w:val="17"/>
          <w:color w:val="auto"/>
        </w:rPr>
        <w:t xml:space="preserve"> </w:t>
      </w:r>
      <w:r>
        <w:rPr>
          <w:rFonts w:ascii="Arial" w:cs="Arial" w:eastAsia="Arial" w:hAnsi="Arial"/>
          <w:sz w:val="17"/>
          <w:szCs w:val="17"/>
          <w:b w:val="1"/>
          <w:bCs w:val="1"/>
          <w:color w:val="auto"/>
        </w:rPr>
        <w:t>foregoing is only a summary of the provisions of our By-Laws that relate to stockholder proposals and stockholder nominations for director. Any stockholder desiring a copy of our By-Laws will be furnished one without charge upon receipt of a written request therefor.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the accompanying Notice of Annual Meeting of Stockholders provides for the transaction of such other business as may properly come before the meeting, we have no knowledge of any matters to be presented at the meeting other than those listed as Proposals 1 and 2 in the notice. However, the enclosed proxy gives discretionary authority in the event that any other matters should be presented.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proxy statement is accompanied by a copy of our Annual Report on Form 10-K for the year ended December 31, 2016 (excluding exhibits). We may charge a fee equal to our reasonable expenses in furnishing the exhibits.</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Kingston,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23,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89165" cy="9433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89165" cy="9433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upperLetter"/>
      <w:start w:val="24"/>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lowerRoman"/>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6"/>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lvl w:ilvl="1">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2020-01-17T15:56:38Z</dcterms:created>
  <dcterms:modified xsi:type="dcterms:W3CDTF">2020-01-17T15:56:38Z</dcterms:modified>
</cp:coreProperties>
</file>