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ind w:left="5280"/>
        <w:spacing w:after="0"/>
        <w:rPr>
          <w:sz w:val="20"/>
          <w:szCs w:val="20"/>
          <w:color w:val="auto"/>
        </w:rPr>
      </w:pPr>
      <w:r>
        <w:rPr>
          <w:rFonts w:ascii="Times New Roman" w:cs="Times New Roman" w:eastAsia="Times New Roman" w:hAnsi="Times New Roman"/>
          <w:sz w:val="20"/>
          <w:szCs w:val="20"/>
          <w:color w:val="auto"/>
        </w:rPr>
        <w:t>_______</w:t>
      </w:r>
    </w:p>
    <w:p>
      <w:pPr>
        <w:spacing w:after="0" w:line="2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4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Pursuant to Section 13 or 15(d) of the</w:t>
      </w:r>
    </w:p>
    <w:p>
      <w:pPr>
        <w:jc w:val="center"/>
        <w:ind w:right="40"/>
        <w:spacing w:after="0"/>
        <w:rPr>
          <w:sz w:val="20"/>
          <w:szCs w:val="20"/>
          <w:color w:val="auto"/>
        </w:rPr>
      </w:pPr>
      <w:r>
        <w:rPr>
          <w:rFonts w:ascii="Times New Roman" w:cs="Times New Roman" w:eastAsia="Times New Roman" w:hAnsi="Times New Roman"/>
          <w:sz w:val="20"/>
          <w:szCs w:val="20"/>
          <w:color w:val="auto"/>
        </w:rPr>
        <w:t>Securities Exchange Act of 1934</w:t>
      </w:r>
    </w:p>
    <w:p>
      <w:pPr>
        <w:spacing w:after="0" w:line="2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Date of Report April 16, 2026</w:t>
      </w:r>
    </w:p>
    <w:p>
      <w:pPr>
        <w:spacing w:after="0" w:line="2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(Date of earliest event reported)</w:t>
      </w:r>
    </w:p>
    <w:p>
      <w:pPr>
        <w:spacing w:after="0" w:line="2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u w:val="single" w:color="auto"/>
          <w:color w:val="auto"/>
        </w:rPr>
        <w:t>KINGSTONE COMPANIES, INC.</w:t>
      </w:r>
    </w:p>
    <w:p>
      <w:pPr>
        <w:spacing w:after="0" w:line="2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(Exact Name of Registrant as Specified in Charter)</w:t>
      </w:r>
    </w:p>
    <w:p>
      <w:pPr>
        <w:spacing w:after="0" w:line="221" w:lineRule="exact"/>
        <w:rPr>
          <w:sz w:val="24"/>
          <w:szCs w:val="24"/>
          <w:color w:val="auto"/>
        </w:rPr>
      </w:pPr>
    </w:p>
    <w:tbl>
      <w:tblPr>
        <w:tblLayout w:type="fixed"/>
        <w:tblInd w:w="1140" w:type="dxa"/>
        <w:tblCellMar>
          <w:top w:w="0" w:type="dxa"/>
          <w:left w:w="0" w:type="dxa"/>
          <w:bottom w:w="0" w:type="dxa"/>
          <w:right w:w="0" w:type="dxa"/>
        </w:tblCellMar>
      </w:tblPr>
      <w:tr>
        <w:trPr>
          <w:trHeight w:val="252"/>
        </w:trPr>
        <w:tc>
          <w:tcPr>
            <w:tcW w:w="3080" w:type="dxa"/>
            <w:vAlign w:val="bottom"/>
            <w:tcBorders>
              <w:bottom w:val="single" w:sz="8" w:color="auto"/>
            </w:tcBorders>
            <w:gridSpan w:val="2"/>
          </w:tcPr>
          <w:p>
            <w:pPr>
              <w:ind w:left="1260"/>
              <w:spacing w:after="0"/>
              <w:rPr>
                <w:sz w:val="20"/>
                <w:szCs w:val="20"/>
                <w:color w:val="auto"/>
              </w:rPr>
            </w:pPr>
            <w:r>
              <w:rPr>
                <w:rFonts w:ascii="Times New Roman" w:cs="Times New Roman" w:eastAsia="Times New Roman" w:hAnsi="Times New Roman"/>
                <w:sz w:val="20"/>
                <w:szCs w:val="20"/>
                <w:color w:val="auto"/>
              </w:rPr>
              <w:t>Delaware</w:t>
            </w:r>
          </w:p>
        </w:tc>
        <w:tc>
          <w:tcPr>
            <w:tcW w:w="264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20"/>
                <w:szCs w:val="20"/>
                <w:color w:val="auto"/>
              </w:rPr>
              <w:t>0-1665</w:t>
            </w:r>
          </w:p>
        </w:tc>
        <w:tc>
          <w:tcPr>
            <w:tcW w:w="3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36-2476480</w:t>
            </w:r>
          </w:p>
        </w:tc>
      </w:tr>
      <w:tr>
        <w:trPr>
          <w:trHeight w:val="200"/>
        </w:trPr>
        <w:tc>
          <w:tcPr>
            <w:tcW w:w="308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(State or Other Jurisdiction</w:t>
            </w:r>
          </w:p>
        </w:tc>
        <w:tc>
          <w:tcPr>
            <w:tcW w:w="2640" w:type="dxa"/>
            <w:vAlign w:val="bottom"/>
          </w:tcPr>
          <w:p>
            <w:pPr>
              <w:jc w:val="center"/>
              <w:ind w:left="21"/>
              <w:spacing w:after="0" w:line="200" w:lineRule="exact"/>
              <w:rPr>
                <w:sz w:val="20"/>
                <w:szCs w:val="20"/>
                <w:color w:val="auto"/>
              </w:rPr>
            </w:pPr>
            <w:r>
              <w:rPr>
                <w:rFonts w:ascii="Times New Roman" w:cs="Times New Roman" w:eastAsia="Times New Roman" w:hAnsi="Times New Roman"/>
                <w:sz w:val="20"/>
                <w:szCs w:val="20"/>
                <w:color w:val="auto"/>
                <w:w w:val="99"/>
              </w:rPr>
              <w:t>(Commission File No.)</w:t>
            </w:r>
          </w:p>
        </w:tc>
        <w:tc>
          <w:tcPr>
            <w:tcW w:w="326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(IRS Employer Identification</w:t>
            </w:r>
          </w:p>
        </w:tc>
      </w:tr>
      <w:tr>
        <w:trPr>
          <w:trHeight w:val="258"/>
        </w:trPr>
        <w:tc>
          <w:tcPr>
            <w:tcW w:w="3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of Incorporation)</w:t>
            </w:r>
          </w:p>
        </w:tc>
        <w:tc>
          <w:tcPr>
            <w:tcW w:w="2640" w:type="dxa"/>
            <w:vAlign w:val="bottom"/>
          </w:tcPr>
          <w:p>
            <w:pPr>
              <w:spacing w:after="0"/>
              <w:rPr>
                <w:sz w:val="22"/>
                <w:szCs w:val="22"/>
                <w:color w:val="auto"/>
              </w:rPr>
            </w:pPr>
          </w:p>
        </w:tc>
        <w:tc>
          <w:tcPr>
            <w:tcW w:w="32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Number)</w:t>
            </w:r>
          </w:p>
        </w:tc>
      </w:tr>
      <w:tr>
        <w:trPr>
          <w:trHeight w:val="466"/>
        </w:trPr>
        <w:tc>
          <w:tcPr>
            <w:tcW w:w="1660" w:type="dxa"/>
            <w:vAlign w:val="bottom"/>
          </w:tcPr>
          <w:p>
            <w:pPr>
              <w:spacing w:after="0"/>
              <w:rPr>
                <w:sz w:val="24"/>
                <w:szCs w:val="24"/>
                <w:color w:val="auto"/>
              </w:rPr>
            </w:pPr>
          </w:p>
        </w:tc>
        <w:tc>
          <w:tcPr>
            <w:tcW w:w="4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120 Wood Road, Kingston, NY</w:t>
            </w:r>
          </w:p>
        </w:tc>
        <w:tc>
          <w:tcPr>
            <w:tcW w:w="1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20"/>
                <w:szCs w:val="20"/>
                <w:color w:val="auto"/>
              </w:rPr>
              <w:t>12401</w:t>
            </w:r>
          </w:p>
        </w:tc>
        <w:tc>
          <w:tcPr>
            <w:tcW w:w="1660" w:type="dxa"/>
            <w:vAlign w:val="bottom"/>
          </w:tcPr>
          <w:p>
            <w:pPr>
              <w:spacing w:after="0"/>
              <w:rPr>
                <w:sz w:val="24"/>
                <w:szCs w:val="24"/>
                <w:color w:val="auto"/>
              </w:rPr>
            </w:pPr>
          </w:p>
        </w:tc>
      </w:tr>
      <w:tr>
        <w:trPr>
          <w:trHeight w:val="252"/>
        </w:trPr>
        <w:tc>
          <w:tcPr>
            <w:tcW w:w="1660" w:type="dxa"/>
            <w:vAlign w:val="bottom"/>
          </w:tcPr>
          <w:p>
            <w:pPr>
              <w:spacing w:after="0"/>
              <w:rPr>
                <w:sz w:val="21"/>
                <w:szCs w:val="21"/>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(Address of Principal Executive Offices)</w:t>
            </w:r>
          </w:p>
        </w:tc>
        <w:tc>
          <w:tcPr>
            <w:tcW w:w="16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(Zip Code)</w:t>
            </w:r>
          </w:p>
        </w:tc>
        <w:tc>
          <w:tcPr>
            <w:tcW w:w="1660" w:type="dxa"/>
            <w:vAlign w:val="bottom"/>
          </w:tcPr>
          <w:p>
            <w:pPr>
              <w:spacing w:after="0"/>
              <w:rPr>
                <w:sz w:val="21"/>
                <w:szCs w:val="21"/>
                <w:color w:val="auto"/>
              </w:rPr>
            </w:pPr>
          </w:p>
        </w:tc>
      </w:tr>
    </w:tbl>
    <w:p>
      <w:pPr>
        <w:spacing w:after="0" w:line="19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u w:val="single" w:color="auto"/>
          <w:color w:val="auto"/>
        </w:rPr>
        <w:t>(845) 802-7900</w:t>
      </w:r>
    </w:p>
    <w:p>
      <w:pPr>
        <w:spacing w:after="0" w:line="243" w:lineRule="exact"/>
        <w:rPr>
          <w:sz w:val="24"/>
          <w:szCs w:val="24"/>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ectPr>
          <w:pgSz w:w="11900" w:h="16838" w:orient="portrait"/>
          <w:cols w:equalWidth="0" w:num="1">
            <w:col w:w="11300"/>
          </w:cols>
          <w:pgMar w:left="320" w:top="221" w:right="279" w:bottom="1440" w:gutter="0" w:footer="0" w:header="0"/>
        </w:sectPr>
      </w:pPr>
    </w:p>
    <w:p>
      <w:pPr>
        <w:spacing w:after="0" w:line="18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____</w:t>
      </w:r>
    </w:p>
    <w:p>
      <w:pPr>
        <w:spacing w:after="0" w:line="2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____</w:t>
      </w:r>
    </w:p>
    <w:p>
      <w:pPr>
        <w:ind w:left="60"/>
        <w:spacing w:after="0"/>
        <w:rPr>
          <w:sz w:val="20"/>
          <w:szCs w:val="20"/>
          <w:color w:val="auto"/>
        </w:rPr>
      </w:pPr>
      <w:r>
        <w:rPr>
          <w:rFonts w:ascii="Times New Roman" w:cs="Times New Roman" w:eastAsia="Times New Roman" w:hAnsi="Times New Roman"/>
          <w:sz w:val="20"/>
          <w:szCs w:val="20"/>
          <w:color w:val="auto"/>
        </w:rPr>
        <w:t>____</w:t>
      </w:r>
    </w:p>
    <w:p>
      <w:pPr>
        <w:ind w:left="60"/>
        <w:spacing w:after="0"/>
        <w:rPr>
          <w:sz w:val="20"/>
          <w:szCs w:val="20"/>
          <w:color w:val="auto"/>
        </w:rPr>
      </w:pPr>
      <w:r>
        <w:rPr>
          <w:rFonts w:ascii="Times New Roman" w:cs="Times New Roman" w:eastAsia="Times New Roman" w:hAnsi="Times New Roman"/>
          <w:sz w:val="20"/>
          <w:szCs w:val="20"/>
          <w:color w:val="auto"/>
        </w:rPr>
        <w:t>____</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rPr>
          <w:sz w:val="20"/>
          <w:szCs w:val="20"/>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Pre-commencement communications pursuant to Rule 13e-4(c) under the Exchange Act (17 CFR 240.13e-4(c))</w:t>
      </w:r>
    </w:p>
    <w:p>
      <w:pPr>
        <w:spacing w:after="0" w:line="211" w:lineRule="exact"/>
        <w:rPr>
          <w:sz w:val="24"/>
          <w:szCs w:val="24"/>
          <w:color w:val="auto"/>
        </w:rPr>
      </w:pPr>
    </w:p>
    <w:p>
      <w:pPr>
        <w:sectPr>
          <w:pgSz w:w="11900" w:h="16838" w:orient="portrait"/>
          <w:cols w:equalWidth="0" w:num="2">
            <w:col w:w="460" w:space="680"/>
            <w:col w:w="10160"/>
          </w:cols>
          <w:pgMar w:left="320" w:top="221" w:right="27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245" w:lineRule="exact"/>
        <w:rPr>
          <w:sz w:val="24"/>
          <w:szCs w:val="24"/>
          <w:color w:val="auto"/>
        </w:rPr>
      </w:pPr>
    </w:p>
    <w:tbl>
      <w:tblPr>
        <w:tblLayout w:type="fixed"/>
        <w:tblInd w:w="70" w:type="dxa"/>
        <w:tblCellMar>
          <w:top w:w="0" w:type="dxa"/>
          <w:left w:w="0" w:type="dxa"/>
          <w:bottom w:w="0" w:type="dxa"/>
          <w:right w:w="0" w:type="dxa"/>
        </w:tblCellMar>
      </w:tblPr>
      <w:tr>
        <w:trPr>
          <w:trHeight w:val="243"/>
        </w:trPr>
        <w:tc>
          <w:tcPr>
            <w:tcW w:w="4380" w:type="dxa"/>
            <w:vAlign w:val="bottom"/>
            <w:tcBorders>
              <w:top w:val="single" w:sz="8" w:color="auto"/>
              <w:left w:val="single" w:sz="8" w:color="auto"/>
              <w:bottom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20"/>
                <w:szCs w:val="20"/>
                <w:color w:val="auto"/>
              </w:rPr>
              <w:t>Title of each class</w:t>
            </w: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Trading Symbol(s)</w:t>
            </w:r>
          </w:p>
        </w:tc>
        <w:tc>
          <w:tcPr>
            <w:tcW w:w="4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Name of each exchange on which registered</w:t>
            </w:r>
          </w:p>
        </w:tc>
      </w:tr>
      <w:tr>
        <w:trPr>
          <w:trHeight w:val="223"/>
        </w:trPr>
        <w:tc>
          <w:tcPr>
            <w:tcW w:w="4380" w:type="dxa"/>
            <w:vAlign w:val="bottom"/>
            <w:tcBorders>
              <w:left w:val="single" w:sz="8" w:color="auto"/>
              <w:bottom w:val="single" w:sz="8" w:color="auto"/>
              <w:right w:val="single" w:sz="8" w:color="auto"/>
            </w:tcBorders>
          </w:tcPr>
          <w:p>
            <w:pPr>
              <w:ind w:left="60"/>
              <w:spacing w:after="0" w:line="223" w:lineRule="exact"/>
              <w:rPr>
                <w:sz w:val="20"/>
                <w:szCs w:val="20"/>
                <w:color w:val="auto"/>
              </w:rPr>
            </w:pPr>
            <w:r>
              <w:rPr>
                <w:rFonts w:ascii="Times New Roman" w:cs="Times New Roman" w:eastAsia="Times New Roman" w:hAnsi="Times New Roman"/>
                <w:sz w:val="20"/>
                <w:szCs w:val="20"/>
                <w:color w:val="auto"/>
              </w:rPr>
              <w:t>Common Stock, $0.01 par value per share</w:t>
            </w:r>
          </w:p>
        </w:tc>
        <w:tc>
          <w:tcPr>
            <w:tcW w:w="21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KINS</w:t>
            </w:r>
          </w:p>
        </w:tc>
        <w:tc>
          <w:tcPr>
            <w:tcW w:w="46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Nasdaq Capital Market</w:t>
            </w:r>
          </w:p>
        </w:tc>
      </w:tr>
    </w:tbl>
    <w:p>
      <w:pPr>
        <w:spacing w:after="0" w:line="220" w:lineRule="exact"/>
        <w:rPr>
          <w:sz w:val="24"/>
          <w:szCs w:val="24"/>
          <w:color w:val="auto"/>
        </w:rPr>
      </w:pPr>
    </w:p>
    <w:p>
      <w:pPr>
        <w:ind w:right="920"/>
        <w:spacing w:after="0" w:line="250"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900"/>
        <w:spacing w:after="0"/>
        <w:rPr>
          <w:sz w:val="20"/>
          <w:szCs w:val="20"/>
          <w:color w:val="auto"/>
        </w:rPr>
      </w:pPr>
      <w:r>
        <w:rPr>
          <w:rFonts w:ascii="Times New Roman" w:cs="Times New Roman" w:eastAsia="Times New Roman" w:hAnsi="Times New Roman"/>
          <w:sz w:val="20"/>
          <w:szCs w:val="20"/>
          <w:color w:val="auto"/>
        </w:rPr>
        <w:t>Emerging growth company □</w:t>
      </w:r>
    </w:p>
    <w:p>
      <w:pPr>
        <w:spacing w:after="0" w:line="221" w:lineRule="exact"/>
        <w:rPr>
          <w:sz w:val="24"/>
          <w:szCs w:val="24"/>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If an emerging growth company, indicate by check mark if the registrant has elected not to use the extended transition period for complying with any new or revised financial accounting standards provided pursuant to Section 13(a) of the Exchange Act.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822960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221" w:right="279" w:bottom="1440" w:gutter="0" w:footer="0" w:header="0"/>
          <w:type w:val="continuous"/>
        </w:sectPr>
      </w:pPr>
    </w:p>
    <w:bookmarkStart w:id="1" w:name="page2"/>
    <w:bookmarkEnd w:id="1"/>
    <w:p>
      <w:pPr>
        <w:spacing w:after="0"/>
        <w:tabs>
          <w:tab w:leader="none" w:pos="1380" w:val="left"/>
        </w:tabs>
        <w:rPr>
          <w:sz w:val="20"/>
          <w:szCs w:val="20"/>
          <w:color w:val="auto"/>
        </w:rPr>
      </w:pPr>
      <w:r>
        <w:rPr>
          <w:rFonts w:ascii="Times New Roman" w:cs="Times New Roman" w:eastAsia="Times New Roman" w:hAnsi="Times New Roman"/>
          <w:sz w:val="22"/>
          <w:szCs w:val="22"/>
          <w:b w:val="1"/>
          <w:bCs w:val="1"/>
          <w:color w:val="auto"/>
        </w:rPr>
        <w:t>Item 2.02</w:t>
      </w:r>
      <w:r>
        <w:rPr>
          <w:sz w:val="20"/>
          <w:szCs w:val="20"/>
          <w:color w:val="auto"/>
        </w:rPr>
        <w:tab/>
      </w:r>
      <w:r>
        <w:rPr>
          <w:rFonts w:ascii="Times New Roman" w:cs="Times New Roman" w:eastAsia="Times New Roman" w:hAnsi="Times New Roman"/>
          <w:sz w:val="21"/>
          <w:szCs w:val="21"/>
          <w:b w:val="1"/>
          <w:bCs w:val="1"/>
          <w:color w:val="auto"/>
        </w:rPr>
        <w:t>Results of Operations and Financial Condition</w:t>
      </w:r>
      <w:r>
        <w:rPr>
          <w:rFonts w:ascii="Times New Roman" w:cs="Times New Roman" w:eastAsia="Times New Roman" w:hAnsi="Times New Roman"/>
          <w:sz w:val="21"/>
          <w:szCs w:val="21"/>
          <w:color w:val="auto"/>
        </w:rPr>
        <w:t>.</w:t>
      </w:r>
    </w:p>
    <w:p>
      <w:pPr>
        <w:spacing w:after="0" w:line="26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On April 16, 2026, Kingstone Companies, Inc. (the “Company”) issued a press release announcing that the Company will hold a conference call for analysts and investors on May 8, 2026 at 8:30 A.M. ET. to discuss its business operations and first quarter results, and that the Company’s financial results news release is scheduled to be issued shortly after the stock markets close on the previous day, May 7, 2026 (the “Press Release”). A copy of the Press Release is furnished as Exhibit 99.1 hereto.</w:t>
      </w:r>
    </w:p>
    <w:p>
      <w:pPr>
        <w:spacing w:after="0" w:line="21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information furnished with this Item 2.02,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(the “Securities Act”), or the Exchange Act, except as expressly set forth by specific reference in such a filing.</w:t>
      </w:r>
    </w:p>
    <w:p>
      <w:pPr>
        <w:spacing w:after="0" w:line="23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2"/>
          <w:szCs w:val="22"/>
          <w:b w:val="1"/>
          <w:bCs w:val="1"/>
          <w:color w:val="auto"/>
        </w:rPr>
        <w:t>Item 7.01</w:t>
      </w:r>
      <w:r>
        <w:rPr>
          <w:sz w:val="20"/>
          <w:szCs w:val="20"/>
          <w:color w:val="auto"/>
        </w:rPr>
        <w:tab/>
      </w:r>
      <w:r>
        <w:rPr>
          <w:rFonts w:ascii="Times New Roman" w:cs="Times New Roman" w:eastAsia="Times New Roman" w:hAnsi="Times New Roman"/>
          <w:sz w:val="21"/>
          <w:szCs w:val="21"/>
          <w:b w:val="1"/>
          <w:bCs w:val="1"/>
          <w:color w:val="auto"/>
        </w:rPr>
        <w:t>Regulation FD Disclosure</w:t>
      </w:r>
      <w:r>
        <w:rPr>
          <w:rFonts w:ascii="Times New Roman" w:cs="Times New Roman" w:eastAsia="Times New Roman" w:hAnsi="Times New Roman"/>
          <w:sz w:val="21"/>
          <w:szCs w:val="21"/>
          <w:color w:val="auto"/>
        </w:rPr>
        <w:t>.</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See Item 2.02 above.</w:t>
      </w:r>
    </w:p>
    <w:p>
      <w:pPr>
        <w:spacing w:after="0" w:line="26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The information in the Press Release is being furnished, not filed, pursuant to this Item 7.01. Accordingly, the information in the Press Release will not be incorporated by reference into any registration statement filed by the Company under the Securities Act unless specifically identified therein as being incorporated therein by reference. The furnishing of the information in this Current Report on Form 8-K with respect to the Press Release is not intended to, and does not, constitute a determination or admission by the Company that the information in this Report with respect to the Press Release is material or complete, or that investors should consider this information before making an investment decision with respect to any security of the Company.</w:t>
      </w:r>
    </w:p>
    <w:p>
      <w:pPr>
        <w:spacing w:after="0" w:line="19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r>
        <w:rPr>
          <w:rFonts w:ascii="Times New Roman" w:cs="Times New Roman" w:eastAsia="Times New Roman" w:hAnsi="Times New Roman"/>
          <w:sz w:val="21"/>
          <w:szCs w:val="21"/>
          <w:color w:val="auto"/>
        </w:rPr>
        <w:t>.</w:t>
      </w:r>
    </w:p>
    <w:p>
      <w:pPr>
        <w:spacing w:after="0" w:line="264" w:lineRule="exact"/>
        <w:rPr>
          <w:sz w:val="20"/>
          <w:szCs w:val="20"/>
          <w:color w:val="auto"/>
        </w:rPr>
      </w:pPr>
    </w:p>
    <w:p>
      <w:pPr>
        <w:ind w:left="880" w:hanging="775"/>
        <w:spacing w:after="0"/>
        <w:tabs>
          <w:tab w:leader="none" w:pos="8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Exhibits:</w:t>
      </w:r>
    </w:p>
    <w:p>
      <w:pPr>
        <w:spacing w:after="0" w:line="260" w:lineRule="exact"/>
        <w:rPr>
          <w:rFonts w:ascii="Times New Roman" w:cs="Times New Roman" w:eastAsia="Times New Roman" w:hAnsi="Times New Roman"/>
          <w:sz w:val="22"/>
          <w:szCs w:val="22"/>
          <w:color w:val="auto"/>
        </w:rPr>
      </w:pPr>
    </w:p>
    <w:p>
      <w:pPr>
        <w:ind w:left="8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99.1</w:t>
      </w:r>
      <w:r>
        <w:rPr>
          <w:rFonts w:ascii="Times New Roman" w:cs="Times New Roman" w:eastAsia="Times New Roman" w:hAnsi="Times New Roman"/>
          <w:sz w:val="21"/>
          <w:szCs w:val="21"/>
          <w:color w:val="auto"/>
        </w:rPr>
        <w:t>Press release, dated April 16, 2026, issued by Kingstone Companies, Inc.</w:t>
      </w:r>
    </w:p>
    <w:p>
      <w:pPr>
        <w:spacing w:after="0" w:line="192" w:lineRule="exact"/>
        <w:rPr>
          <w:rFonts w:ascii="Times New Roman" w:cs="Times New Roman" w:eastAsia="Times New Roman" w:hAnsi="Times New Roman"/>
          <w:sz w:val="22"/>
          <w:szCs w:val="22"/>
          <w:color w:val="auto"/>
        </w:rPr>
      </w:pPr>
    </w:p>
    <w:p>
      <w:pPr>
        <w:ind w:left="8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104</w:t>
      </w:r>
      <w:r>
        <w:rPr>
          <w:rFonts w:ascii="Times New Roman" w:cs="Times New Roman" w:eastAsia="Times New Roman" w:hAnsi="Times New Roman"/>
          <w:sz w:val="21"/>
          <w:szCs w:val="21"/>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829945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51" w:lineRule="exact"/>
        <w:rPr>
          <w:sz w:val="20"/>
          <w:szCs w:val="20"/>
          <w:color w:val="auto"/>
        </w:rPr>
      </w:pPr>
    </w:p>
    <w:p>
      <w:pPr>
        <w:ind w:firstLine="861"/>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2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b w:val="1"/>
          <w:bCs w:val="1"/>
          <w:color w:val="auto"/>
        </w:rPr>
        <w:t>KINGSTONE COMPANIES, INC.</w:t>
      </w:r>
    </w:p>
    <w:p>
      <w:pPr>
        <w:spacing w:after="0" w:line="237" w:lineRule="exact"/>
        <w:rPr>
          <w:sz w:val="20"/>
          <w:szCs w:val="20"/>
          <w:color w:val="auto"/>
        </w:rPr>
      </w:pPr>
    </w:p>
    <w:p>
      <w:pPr>
        <w:ind w:left="100"/>
        <w:spacing w:after="0"/>
        <w:tabs>
          <w:tab w:leader="none" w:pos="5480" w:val="left"/>
          <w:tab w:leader="none" w:pos="6380" w:val="left"/>
        </w:tabs>
        <w:rPr>
          <w:sz w:val="20"/>
          <w:szCs w:val="20"/>
          <w:color w:val="auto"/>
        </w:rPr>
      </w:pPr>
      <w:r>
        <w:rPr>
          <w:rFonts w:ascii="Times New Roman" w:cs="Times New Roman" w:eastAsia="Times New Roman" w:hAnsi="Times New Roman"/>
          <w:sz w:val="22"/>
          <w:szCs w:val="22"/>
          <w:color w:val="auto"/>
        </w:rPr>
        <w:t>Dated: April 16, 2026</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Randy Patten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10795</wp:posOffset>
            </wp:positionV>
            <wp:extent cx="31629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ind w:left="6260"/>
        <w:spacing w:after="0"/>
        <w:rPr>
          <w:sz w:val="20"/>
          <w:szCs w:val="20"/>
          <w:color w:val="auto"/>
        </w:rPr>
      </w:pPr>
      <w:r>
        <w:rPr>
          <w:rFonts w:ascii="Times New Roman" w:cs="Times New Roman" w:eastAsia="Times New Roman" w:hAnsi="Times New Roman"/>
          <w:sz w:val="22"/>
          <w:szCs w:val="22"/>
          <w:color w:val="auto"/>
        </w:rPr>
        <w:t>Randy Patten</w:t>
      </w:r>
    </w:p>
    <w:p>
      <w:pPr>
        <w:ind w:left="6260"/>
        <w:spacing w:after="0"/>
        <w:rPr>
          <w:sz w:val="20"/>
          <w:szCs w:val="20"/>
          <w:color w:val="auto"/>
        </w:rPr>
      </w:pPr>
      <w:r>
        <w:rPr>
          <w:rFonts w:ascii="Times New Roman" w:cs="Times New Roman" w:eastAsia="Times New Roman" w:hAnsi="Times New Roman"/>
          <w:sz w:val="22"/>
          <w:szCs w:val="22"/>
          <w:color w:val="auto"/>
        </w:rPr>
        <w:t>Chief Financial Officer</w:t>
      </w:r>
    </w:p>
    <w:p>
      <w:pPr>
        <w:sectPr>
          <w:pgSz w:w="11900" w:h="16838" w:orient="portrait"/>
          <w:cols w:equalWidth="0" w:num="1">
            <w:col w:w="11220"/>
          </w:cols>
          <w:pgMar w:left="320" w:top="108"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5557520</wp:posOffset>
            </wp:positionH>
            <wp:positionV relativeFrom="page">
              <wp:posOffset>88900</wp:posOffset>
            </wp:positionV>
            <wp:extent cx="1551305"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551305" cy="308610"/>
                    </a:xfrm>
                    <a:prstGeom prst="rect">
                      <a:avLst/>
                    </a:prstGeom>
                    <a:noFill/>
                  </pic:spPr>
                </pic:pic>
              </a:graphicData>
            </a:graphic>
          </wp:anchor>
        </w:drawing>
        <w:t>Kingstone Schedules First Quarter 2026 Earnings Release and Conference Call</w:t>
      </w:r>
    </w:p>
    <w:p>
      <w:pPr>
        <w:spacing w:after="0" w:line="3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KINGSTON, N.Y., April 16, 2026 </w:t>
      </w:r>
      <w:r>
        <w:rPr>
          <w:rFonts w:ascii="Times New Roman" w:cs="Times New Roman" w:eastAsia="Times New Roman" w:hAnsi="Times New Roman"/>
          <w:sz w:val="22"/>
          <w:szCs w:val="22"/>
          <w:color w:val="auto"/>
        </w:rPr>
        <w:t>– Kingstone Companies, Inc. (Nasdaq: KINS) (the "Company" or "Kingstone"), a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casualty insurance holding company, today announced that it will issue financial results for the first quarter ended March 31, 2026, after the market closes on Thursday, May 7, 2026.</w:t>
      </w:r>
    </w:p>
    <w:p>
      <w:pPr>
        <w:spacing w:after="0" w:line="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Management will host a conference call to discuss the Company’s business operations and financial results at 8:30am ET on Friday, May 8,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Participants are asked to dial-in approximately 10 minutes before the conference call is scheduled to begin by dialing:</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 toll-free: 1-877-407-2991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International: 1-201-389-0925</w:t>
      </w:r>
    </w:p>
    <w:p>
      <w:pPr>
        <w:spacing w:after="0" w:line="3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A webcast of the live call will be available in the “Investor Relations” section of the Company’s website at </w:t>
      </w:r>
      <w:r>
        <w:rPr>
          <w:rFonts w:ascii="Times New Roman" w:cs="Times New Roman" w:eastAsia="Times New Roman" w:hAnsi="Times New Roman"/>
          <w:sz w:val="22"/>
          <w:szCs w:val="22"/>
          <w:color w:val="467886"/>
        </w:rPr>
        <w:t xml:space="preserve">www.kingstonecompanies.com </w:t>
      </w:r>
      <w:r>
        <w:rPr>
          <w:rFonts w:ascii="Times New Roman" w:cs="Times New Roman" w:eastAsia="Times New Roman" w:hAnsi="Times New Roman"/>
          <w:sz w:val="22"/>
          <w:szCs w:val="22"/>
          <w:color w:val="000000"/>
        </w:rPr>
        <w:t>or by clicking</w:t>
      </w:r>
      <w:r>
        <w:rPr>
          <w:rFonts w:ascii="Times New Roman" w:cs="Times New Roman" w:eastAsia="Times New Roman" w:hAnsi="Times New Roman"/>
          <w:sz w:val="22"/>
          <w:szCs w:val="22"/>
          <w:color w:val="467886"/>
        </w:rPr>
        <w:t xml:space="preserve"> here</w:t>
      </w:r>
      <w:r>
        <w:rPr>
          <w:rFonts w:ascii="Times New Roman" w:cs="Times New Roman" w:eastAsia="Times New Roman" w:hAnsi="Times New Roman"/>
          <w:sz w:val="22"/>
          <w:szCs w:val="22"/>
          <w:color w:val="000000"/>
        </w:rPr>
        <w:t>. A replay of the webcast will be available shortly after the conclusion of the</w:t>
      </w:r>
      <w:r>
        <w:rPr>
          <w:rFonts w:ascii="Times New Roman" w:cs="Times New Roman" w:eastAsia="Times New Roman" w:hAnsi="Times New Roman"/>
          <w:sz w:val="22"/>
          <w:szCs w:val="22"/>
          <w:color w:val="467886"/>
        </w:rPr>
        <w:t xml:space="preserve"> </w:t>
      </w:r>
      <w:r>
        <w:rPr>
          <w:rFonts w:ascii="Times New Roman" w:cs="Times New Roman" w:eastAsia="Times New Roman" w:hAnsi="Times New Roman"/>
          <w:sz w:val="22"/>
          <w:szCs w:val="22"/>
          <w:color w:val="000000"/>
        </w:rPr>
        <w:t>call and will remain accessible for approximately 30 days.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Kingstone Companies, Inc.</w:t>
      </w:r>
    </w:p>
    <w:p>
      <w:pPr>
        <w:spacing w:after="0" w:line="1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Kingstone is a Northeast regional property and casualty insurance holding company whose principal operating subsidiary is Kingstone Insurance Company ("KICO"). KICO is a New York domiciled carrier writing business through retail and wholesale agents and brokers. Kingstone delivers tailored homeowners insurance solutions through its sophisticated product suite, Select, supported by a scalable and efficient operating platform that enables the Company to pursue significant market opportunities and strategic expansion. KICO was the 11th largest writer of homeowners insurance in New York in 2025 and is also licensed in New Jersey, Rhode Island, Massachusetts, Connecticut, Pennsylvania, New Hampshire, and Maine.</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Kingstone Investor Relations Contact: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Elevate IR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467886"/>
        </w:rPr>
        <w:t>KINS@elevate-ir.com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720-330-2829</w:t>
      </w:r>
    </w:p>
    <w:sectPr>
      <w:pgSz w:w="11900" w:h="16838" w:orient="portrait"/>
      <w:cols w:equalWidth="0" w:num="1">
        <w:col w:w="11240"/>
      </w:cols>
      <w:pgMar w:left="320" w:top="12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2026-04-17T15:48:42Z</dcterms:created>
  <dcterms:modified xsi:type="dcterms:W3CDTF">2026-04-17T15:48:42Z</dcterms:modified>
</cp:coreProperties>
</file>